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306440"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C273BE" w:rsidRDefault="00C273BE" w:rsidP="00323003">
      <w:pPr>
        <w:widowControl w:val="0"/>
        <w:tabs>
          <w:tab w:val="center" w:pos="5819"/>
        </w:tabs>
        <w:spacing w:line="240" w:lineRule="exact"/>
        <w:jc w:val="center"/>
        <w:rPr>
          <w:rFonts w:ascii="Times New Roman" w:hAnsi="Times New Roman" w:cs="Times New Roman"/>
          <w:b/>
          <w:bCs/>
          <w:color w:val="000000"/>
          <w:sz w:val="24"/>
          <w:szCs w:val="24"/>
        </w:rPr>
      </w:pPr>
    </w:p>
    <w:p w:rsidR="00C273BE" w:rsidRDefault="00C273B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542744" w:rsidRDefault="00542744" w:rsidP="00323003">
      <w:pPr>
        <w:widowControl w:val="0"/>
        <w:jc w:val="center"/>
        <w:rPr>
          <w:rFonts w:ascii="Times New Roman" w:hAnsi="Times New Roman" w:cs="Times New Roman"/>
          <w:b/>
          <w:bCs/>
          <w:sz w:val="24"/>
          <w:szCs w:val="24"/>
        </w:rPr>
      </w:pPr>
    </w:p>
    <w:p w:rsidR="00542744" w:rsidRDefault="00542744" w:rsidP="00323003">
      <w:pPr>
        <w:widowControl w:val="0"/>
        <w:jc w:val="center"/>
        <w:rPr>
          <w:rFonts w:ascii="Times New Roman" w:hAnsi="Times New Roman" w:cs="Times New Roman"/>
          <w:b/>
          <w:bCs/>
          <w:sz w:val="24"/>
          <w:szCs w:val="24"/>
        </w:rPr>
      </w:pPr>
    </w:p>
    <w:p w:rsidR="00323003" w:rsidRPr="009C039C" w:rsidRDefault="00F146BE"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INT-006-3</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Response to Interchange Authority</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542744"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542744" w:rsidRDefault="00542744"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542744" w:rsidRDefault="00542744"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542744">
        <w:rPr>
          <w:rFonts w:ascii="Times New Roman" w:hAnsi="Times New Roman" w:cs="Times New Roman"/>
          <w:b/>
          <w:bCs/>
          <w:color w:val="264D74"/>
          <w:sz w:val="24"/>
          <w:szCs w:val="24"/>
        </w:rPr>
        <w:t xml:space="preserve">  </w:t>
      </w:r>
      <w:r w:rsidR="00F146BE" w:rsidRPr="001309A0">
        <w:rPr>
          <w:rFonts w:ascii="Times New Roman" w:hAnsi="Times New Roman" w:cs="Times New Roman"/>
          <w:bCs/>
          <w:color w:val="000000"/>
          <w:sz w:val="24"/>
          <w:szCs w:val="24"/>
        </w:rPr>
        <w:t>BA, TSP</w:t>
      </w:r>
    </w:p>
    <w:p w:rsidR="00542744" w:rsidRDefault="00542744" w:rsidP="00542744">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542744">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9B295F" w:rsidRDefault="00AD5422" w:rsidP="009B295F">
      <w:pPr>
        <w:pStyle w:val="Heading1"/>
      </w:pPr>
      <w:r w:rsidRPr="009B295F">
        <w:lastRenderedPageBreak/>
        <w:t>Subject Matter Experts</w:t>
      </w:r>
    </w:p>
    <w:p w:rsidR="00542744" w:rsidRDefault="00542744"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1309A0" w:rsidP="00542744">
      <w:pPr>
        <w:pStyle w:val="Heading1"/>
      </w:pPr>
      <w:r>
        <w:br w:type="page"/>
      </w:r>
      <w:r w:rsidR="00C23A94">
        <w:t>Reliability Standard Language</w:t>
      </w:r>
    </w:p>
    <w:p w:rsidR="00C23A94" w:rsidRPr="003A3FE5" w:rsidRDefault="00C23A94" w:rsidP="00A86374">
      <w:pPr>
        <w:widowControl w:val="0"/>
        <w:tabs>
          <w:tab w:val="left" w:pos="120"/>
        </w:tabs>
        <w:spacing w:line="331" w:lineRule="exact"/>
        <w:rPr>
          <w:rFonts w:ascii="Times New Roman" w:hAnsi="Times New Roman" w:cs="Times New Roman"/>
          <w:b/>
          <w:bCs/>
          <w:color w:val="264D74"/>
          <w:sz w:val="16"/>
          <w:szCs w:val="16"/>
        </w:rPr>
      </w:pPr>
    </w:p>
    <w:p w:rsidR="00542744" w:rsidRPr="001F467C" w:rsidRDefault="00542744" w:rsidP="00542744">
      <w:pPr>
        <w:widowControl w:val="0"/>
        <w:shd w:val="clear" w:color="auto" w:fill="D3DCE9"/>
        <w:spacing w:line="120" w:lineRule="exact"/>
        <w:rPr>
          <w:rFonts w:ascii="Times New Roman" w:hAnsi="Times New Roman" w:cs="Times New Roman"/>
          <w:sz w:val="24"/>
          <w:szCs w:val="24"/>
        </w:rPr>
      </w:pPr>
    </w:p>
    <w:p w:rsidR="00542744" w:rsidRPr="001F467C" w:rsidRDefault="00542744" w:rsidP="00542744">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INT-006-3 – Response to Interchange Authority</w:t>
      </w:r>
    </w:p>
    <w:p w:rsidR="00542744" w:rsidRPr="001F467C" w:rsidRDefault="00542744" w:rsidP="00542744">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542744" w:rsidRDefault="00542744" w:rsidP="00530AD0">
      <w:pPr>
        <w:rPr>
          <w:rFonts w:ascii="Times New Roman" w:hAnsi="Times New Roman" w:cs="Times New Roman"/>
          <w:b/>
          <w:bCs/>
          <w:color w:val="264D74"/>
          <w:sz w:val="24"/>
          <w:szCs w:val="24"/>
        </w:rPr>
      </w:pPr>
    </w:p>
    <w:p w:rsidR="00E8453A" w:rsidRPr="009C039C" w:rsidRDefault="00E8453A" w:rsidP="00530AD0">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r w:rsidR="0017363B">
        <w:rPr>
          <w:rFonts w:ascii="Times New Roman" w:hAnsi="Times New Roman" w:cs="Times New Roman"/>
          <w:sz w:val="24"/>
          <w:szCs w:val="24"/>
        </w:rPr>
        <w:t xml:space="preserve"> To ensure that each Arranged Interchange is checked for reliability before it is implemented.</w:t>
      </w:r>
    </w:p>
    <w:p w:rsidR="00E8453A" w:rsidRPr="009C039C" w:rsidRDefault="00E8453A">
      <w:pPr>
        <w:widowControl w:val="0"/>
        <w:spacing w:line="120" w:lineRule="exact"/>
        <w:rPr>
          <w:rFonts w:ascii="Times New Roman" w:hAnsi="Times New Roman" w:cs="Times New Roman"/>
          <w:sz w:val="24"/>
          <w:szCs w:val="24"/>
        </w:rPr>
      </w:pPr>
    </w:p>
    <w:p w:rsidR="003A3FE5" w:rsidRDefault="003A3FE5" w:rsidP="007C44D6">
      <w:pPr>
        <w:widowControl w:val="0"/>
        <w:tabs>
          <w:tab w:val="left" w:pos="840"/>
        </w:tabs>
        <w:spacing w:line="294" w:lineRule="exact"/>
        <w:rPr>
          <w:rFonts w:ascii="Times New Roman" w:hAnsi="Times New Roman" w:cs="Times New Roman"/>
          <w:b/>
          <w:bCs/>
          <w:color w:val="264D74"/>
          <w:sz w:val="24"/>
          <w:szCs w:val="24"/>
        </w:rPr>
      </w:pP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861282"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542744">
        <w:rPr>
          <w:rFonts w:ascii="Times New Roman" w:hAnsi="Times New Roman" w:cs="Times New Roman"/>
          <w:color w:val="000000"/>
          <w:sz w:val="24"/>
          <w:szCs w:val="24"/>
        </w:rPr>
        <w:t>Balancing Authority</w:t>
      </w:r>
    </w:p>
    <w:p w:rsidR="00542744" w:rsidRPr="009C039C" w:rsidRDefault="00542744" w:rsidP="00542744">
      <w:pPr>
        <w:widowControl w:val="0"/>
        <w:tabs>
          <w:tab w:val="left" w:pos="900"/>
        </w:tabs>
        <w:ind w:left="900"/>
        <w:rPr>
          <w:rFonts w:ascii="Times New Roman" w:hAnsi="Times New Roman" w:cs="Times New Roman"/>
          <w:color w:val="000000"/>
          <w:sz w:val="24"/>
          <w:szCs w:val="24"/>
        </w:rPr>
      </w:pPr>
      <w:r>
        <w:rPr>
          <w:rFonts w:ascii="Times New Roman" w:hAnsi="Times New Roman" w:cs="Times New Roman"/>
          <w:color w:val="000000"/>
          <w:sz w:val="24"/>
          <w:szCs w:val="24"/>
        </w:rPr>
        <w:t>Transmission Service Provider</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671684">
        <w:rPr>
          <w:rFonts w:ascii="Times New Roman" w:hAnsi="Times New Roman" w:cs="Times New Roman"/>
          <w:b/>
          <w:bCs/>
          <w:color w:val="000000"/>
          <w:sz w:val="24"/>
          <w:szCs w:val="24"/>
        </w:rPr>
        <w:t>10/29/2008</w:t>
      </w:r>
      <w:r w:rsidR="005662A8">
        <w:rPr>
          <w:rFonts w:ascii="Times New Roman" w:hAnsi="Times New Roman" w:cs="Times New Roman"/>
          <w:b/>
          <w:bCs/>
          <w:color w:val="000000"/>
          <w:sz w:val="24"/>
          <w:szCs w:val="24"/>
        </w:rPr>
        <w:t xml:space="preserve"> </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671684">
        <w:rPr>
          <w:rFonts w:ascii="Times New Roman" w:hAnsi="Times New Roman" w:cs="Times New Roman"/>
          <w:b/>
          <w:bCs/>
          <w:color w:val="000000"/>
          <w:sz w:val="24"/>
          <w:szCs w:val="24"/>
        </w:rPr>
        <w:t>12/17/2009</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671684">
        <w:rPr>
          <w:rFonts w:ascii="Times New Roman" w:hAnsi="Times New Roman" w:cs="Times New Roman"/>
          <w:b/>
          <w:bCs/>
          <w:color w:val="000000"/>
          <w:sz w:val="24"/>
          <w:szCs w:val="24"/>
        </w:rPr>
        <w:t>7/1/2010</w:t>
      </w:r>
    </w:p>
    <w:p w:rsidR="001309A0" w:rsidRDefault="001309A0">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17363B" w:rsidRPr="0017363B" w:rsidRDefault="0017363B" w:rsidP="0017363B">
      <w:pPr>
        <w:pStyle w:val="Requirement"/>
        <w:tabs>
          <w:tab w:val="num" w:pos="936"/>
          <w:tab w:val="left" w:pos="2592"/>
          <w:tab w:val="left" w:pos="3240"/>
        </w:tabs>
        <w:autoSpaceDE/>
        <w:autoSpaceDN/>
        <w:adjustRightInd/>
        <w:spacing w:after="120"/>
        <w:ind w:left="936" w:hanging="576"/>
        <w:contextualSpacing w:val="0"/>
        <w:rPr>
          <w:rFonts w:ascii="Times New Roman" w:hAnsi="Times New Roman" w:cs="Times New Roman"/>
          <w:sz w:val="24"/>
          <w:szCs w:val="24"/>
        </w:rPr>
      </w:pPr>
      <w:r w:rsidRPr="0017363B">
        <w:rPr>
          <w:rFonts w:ascii="Times New Roman" w:hAnsi="Times New Roman" w:cs="Times New Roman"/>
          <w:sz w:val="24"/>
          <w:szCs w:val="24"/>
        </w:rPr>
        <w:t>Prior to the expiration of the reliability assessment period defined in the timing requirements tables in this standard, Column B, the Balancing Authority and Transmission Service Provider shall respond to each On-time Request for Interchange (RFI), and to each Emergency RFI and Reliability Adjustment RFI from an Interchange Authority to transition an Arranged Interchange to a Confirmed Interchange.</w:t>
      </w:r>
      <w:r w:rsidRPr="0017363B">
        <w:rPr>
          <w:rStyle w:val="FootnoteReference"/>
          <w:rFonts w:ascii="Times New Roman" w:hAnsi="Times New Roman" w:cs="Times New Roman"/>
          <w:sz w:val="24"/>
          <w:szCs w:val="24"/>
        </w:rPr>
        <w:footnoteReference w:id="1"/>
      </w:r>
      <w:r w:rsidRPr="0017363B">
        <w:rPr>
          <w:rFonts w:ascii="Times New Roman" w:hAnsi="Times New Roman" w:cs="Times New Roman"/>
          <w:sz w:val="24"/>
          <w:szCs w:val="24"/>
        </w:rPr>
        <w:t xml:space="preserve">  </w:t>
      </w:r>
    </w:p>
    <w:p w:rsidR="0017363B" w:rsidRPr="0017363B" w:rsidRDefault="0017363B" w:rsidP="0017363B">
      <w:pPr>
        <w:pStyle w:val="Requirement"/>
        <w:numPr>
          <w:ilvl w:val="1"/>
          <w:numId w:val="3"/>
        </w:numPr>
        <w:tabs>
          <w:tab w:val="left" w:pos="2592"/>
          <w:tab w:val="left" w:pos="3240"/>
        </w:tabs>
        <w:autoSpaceDE/>
        <w:autoSpaceDN/>
        <w:adjustRightInd/>
        <w:spacing w:after="120"/>
        <w:contextualSpacing w:val="0"/>
        <w:rPr>
          <w:rFonts w:ascii="Times New Roman" w:hAnsi="Times New Roman" w:cs="Times New Roman"/>
          <w:b/>
          <w:sz w:val="24"/>
          <w:szCs w:val="24"/>
        </w:rPr>
      </w:pPr>
      <w:r w:rsidRPr="0017363B">
        <w:rPr>
          <w:rFonts w:ascii="Times New Roman" w:hAnsi="Times New Roman" w:cs="Times New Roman"/>
          <w:sz w:val="24"/>
          <w:szCs w:val="24"/>
        </w:rPr>
        <w:t xml:space="preserve">Each involved Balancing Authority shall evaluate the Arranged Interchange with respect to: </w:t>
      </w:r>
    </w:p>
    <w:p w:rsidR="0017363B" w:rsidRPr="0017363B" w:rsidRDefault="0017363B" w:rsidP="0017363B">
      <w:pPr>
        <w:numPr>
          <w:ilvl w:val="2"/>
          <w:numId w:val="3"/>
        </w:numPr>
        <w:autoSpaceDE/>
        <w:autoSpaceDN/>
        <w:adjustRightInd/>
        <w:spacing w:before="120"/>
        <w:rPr>
          <w:rFonts w:ascii="Times New Roman" w:hAnsi="Times New Roman" w:cs="Times New Roman"/>
          <w:i/>
          <w:sz w:val="24"/>
          <w:szCs w:val="24"/>
        </w:rPr>
      </w:pPr>
      <w:r w:rsidRPr="0017363B">
        <w:rPr>
          <w:rFonts w:ascii="Times New Roman" w:hAnsi="Times New Roman" w:cs="Times New Roman"/>
          <w:sz w:val="24"/>
          <w:szCs w:val="24"/>
        </w:rPr>
        <w:t>Energy profile (ability to support the magnitude of the Interchange).</w:t>
      </w:r>
    </w:p>
    <w:p w:rsidR="0017363B" w:rsidRPr="0017363B" w:rsidRDefault="0017363B" w:rsidP="0017363B">
      <w:pPr>
        <w:numPr>
          <w:ilvl w:val="2"/>
          <w:numId w:val="3"/>
        </w:numPr>
        <w:autoSpaceDE/>
        <w:autoSpaceDN/>
        <w:adjustRightInd/>
        <w:spacing w:before="120"/>
        <w:rPr>
          <w:rFonts w:ascii="Times New Roman" w:hAnsi="Times New Roman" w:cs="Times New Roman"/>
          <w:sz w:val="24"/>
          <w:szCs w:val="24"/>
        </w:rPr>
      </w:pPr>
      <w:r w:rsidRPr="0017363B">
        <w:rPr>
          <w:rFonts w:ascii="Times New Roman" w:hAnsi="Times New Roman" w:cs="Times New Roman"/>
          <w:sz w:val="24"/>
          <w:szCs w:val="24"/>
        </w:rPr>
        <w:t>Ramp (ability of generation maneuverability to accommodate).</w:t>
      </w:r>
    </w:p>
    <w:p w:rsidR="0017363B" w:rsidRPr="0017363B" w:rsidRDefault="0017363B" w:rsidP="0017363B">
      <w:pPr>
        <w:numPr>
          <w:ilvl w:val="2"/>
          <w:numId w:val="3"/>
        </w:numPr>
        <w:autoSpaceDE/>
        <w:autoSpaceDN/>
        <w:adjustRightInd/>
        <w:spacing w:before="120" w:after="120"/>
        <w:rPr>
          <w:rFonts w:ascii="Times New Roman" w:hAnsi="Times New Roman" w:cs="Times New Roman"/>
          <w:sz w:val="24"/>
          <w:szCs w:val="24"/>
        </w:rPr>
      </w:pPr>
      <w:r w:rsidRPr="0017363B">
        <w:rPr>
          <w:rFonts w:ascii="Times New Roman" w:hAnsi="Times New Roman" w:cs="Times New Roman"/>
          <w:sz w:val="24"/>
          <w:szCs w:val="24"/>
        </w:rPr>
        <w:t>Scheduling path (proper connectivity of Adjacent Balancing Authorities).</w:t>
      </w:r>
    </w:p>
    <w:p w:rsidR="0017363B" w:rsidRPr="0017363B" w:rsidRDefault="0017363B" w:rsidP="0017363B">
      <w:pPr>
        <w:pStyle w:val="Requirement"/>
        <w:numPr>
          <w:ilvl w:val="1"/>
          <w:numId w:val="3"/>
        </w:numPr>
        <w:tabs>
          <w:tab w:val="left" w:pos="2592"/>
          <w:tab w:val="left" w:pos="3240"/>
        </w:tabs>
        <w:autoSpaceDE/>
        <w:autoSpaceDN/>
        <w:adjustRightInd/>
        <w:spacing w:after="120"/>
        <w:contextualSpacing w:val="0"/>
        <w:rPr>
          <w:rFonts w:ascii="Times New Roman" w:hAnsi="Times New Roman" w:cs="Times New Roman"/>
          <w:b/>
          <w:sz w:val="24"/>
          <w:szCs w:val="24"/>
        </w:rPr>
      </w:pPr>
      <w:r w:rsidRPr="0017363B">
        <w:rPr>
          <w:rFonts w:ascii="Times New Roman" w:hAnsi="Times New Roman" w:cs="Times New Roman"/>
          <w:sz w:val="24"/>
          <w:szCs w:val="24"/>
        </w:rPr>
        <w:t xml:space="preserve">Each involved Transmission Service Provider shall confirm that the transmission service arrangements associated with the Arranged Interchange have adjacent Transmission Service Provider connectivity, are valid and prevailing transmission system limits will not be violated. </w:t>
      </w:r>
      <w:r>
        <w:rPr>
          <w:rFonts w:ascii="Times New Roman" w:hAnsi="Times New Roman" w:cs="Times New Roman"/>
          <w:sz w:val="24"/>
          <w:szCs w:val="24"/>
        </w:rPr>
        <w:br/>
      </w:r>
    </w:p>
    <w:p w:rsidR="001818CD" w:rsidRDefault="00AD5422" w:rsidP="001309A0">
      <w:pPr>
        <w:pStyle w:val="Requirement"/>
        <w:numPr>
          <w:ilvl w:val="0"/>
          <w:numId w:val="0"/>
        </w:numPr>
        <w:ind w:left="36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F5E13" w:rsidRPr="009C039C" w:rsidRDefault="000F5E13" w:rsidP="001309A0">
      <w:pPr>
        <w:pStyle w:val="Requirement"/>
        <w:numPr>
          <w:ilvl w:val="0"/>
          <w:numId w:val="0"/>
        </w:numPr>
        <w:ind w:left="36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1309A0" w:rsidRPr="003A3FE5" w:rsidRDefault="001309A0" w:rsidP="003A3FE5">
      <w:pPr>
        <w:pStyle w:val="Heading1"/>
      </w:pPr>
      <w:r w:rsidRPr="003A3FE5">
        <w:t>R1 Supporting Evidence and Documentation</w:t>
      </w:r>
    </w:p>
    <w:p w:rsidR="001309A0" w:rsidRPr="00713A72" w:rsidRDefault="001309A0" w:rsidP="001309A0">
      <w:pPr>
        <w:widowControl w:val="0"/>
        <w:spacing w:line="266" w:lineRule="exact"/>
        <w:rPr>
          <w:rFonts w:ascii="Times New Roman" w:hAnsi="Times New Roman" w:cs="Times New Roman"/>
          <w:b/>
          <w:bCs/>
          <w:color w:val="FF0000"/>
          <w:sz w:val="24"/>
          <w:szCs w:val="24"/>
        </w:rPr>
      </w:pPr>
    </w:p>
    <w:p w:rsidR="001309A0" w:rsidRPr="008A12A8" w:rsidRDefault="001309A0" w:rsidP="001309A0">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1309A0" w:rsidRPr="008A12A8" w:rsidTr="00ED672E">
        <w:trPr>
          <w:gridAfter w:val="1"/>
          <w:wAfter w:w="1224" w:type="dxa"/>
          <w:trHeight w:val="945"/>
        </w:trPr>
        <w:tc>
          <w:tcPr>
            <w:tcW w:w="1098" w:type="dxa"/>
            <w:tcBorders>
              <w:top w:val="nil"/>
              <w:left w:val="nil"/>
              <w:bottom w:val="nil"/>
              <w:right w:val="nil"/>
            </w:tcBorders>
          </w:tcPr>
          <w:p w:rsidR="001309A0" w:rsidRPr="008A12A8" w:rsidRDefault="001309A0" w:rsidP="00ED672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1309A0" w:rsidRPr="008A12A8" w:rsidRDefault="001309A0" w:rsidP="00ED672E">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b/>
                <w:sz w:val="24"/>
                <w:szCs w:val="24"/>
              </w:rPr>
              <w:t>P</w:t>
            </w:r>
            <w:r w:rsidRPr="008A12A8">
              <w:rPr>
                <w:rFonts w:ascii="Times New Roman" w:hAnsi="Times New Roman" w:cs="Times New Roman"/>
                <w:b/>
                <w:bCs/>
                <w:sz w:val="24"/>
                <w:szCs w:val="24"/>
              </w:rPr>
              <w:t>rovide the following:</w:t>
            </w:r>
          </w:p>
          <w:p w:rsidR="001309A0" w:rsidRPr="008A12A8" w:rsidRDefault="001309A0" w:rsidP="00ED672E">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 xml:space="preserve">Document </w:t>
            </w:r>
            <w:r>
              <w:rPr>
                <w:rFonts w:ascii="Times New Roman" w:hAnsi="Times New Roman" w:cs="Times New Roman"/>
                <w:b/>
                <w:bCs/>
                <w:sz w:val="24"/>
                <w:szCs w:val="24"/>
              </w:rPr>
              <w:t xml:space="preserve">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and Section, </w:t>
            </w:r>
            <w:r>
              <w:rPr>
                <w:rFonts w:ascii="Times New Roman" w:hAnsi="Times New Roman" w:cs="Times New Roman"/>
                <w:b/>
                <w:bCs/>
                <w:sz w:val="24"/>
                <w:szCs w:val="24"/>
              </w:rPr>
              <w:tab/>
              <w:t>Date and</w:t>
            </w:r>
            <w:r w:rsidRPr="008A12A8">
              <w:rPr>
                <w:rFonts w:ascii="Times New Roman" w:hAnsi="Times New Roman" w:cs="Times New Roman"/>
                <w:b/>
                <w:bCs/>
                <w:sz w:val="24"/>
                <w:szCs w:val="24"/>
              </w:rPr>
              <w:t xml:space="preserve"> Version</w:t>
            </w:r>
          </w:p>
        </w:tc>
      </w:tr>
      <w:tr w:rsidR="001309A0" w:rsidRPr="008A12A8" w:rsidTr="00ED672E">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1309A0" w:rsidRPr="008A12A8" w:rsidRDefault="001309A0" w:rsidP="00ED672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1309A0" w:rsidRPr="008A12A8" w:rsidRDefault="001309A0" w:rsidP="00ED672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1309A0" w:rsidRPr="008A12A8" w:rsidTr="00ED672E">
        <w:tblPrEx>
          <w:tblLook w:val="04A0" w:firstRow="1" w:lastRow="0" w:firstColumn="1" w:lastColumn="0" w:noHBand="0" w:noVBand="1"/>
        </w:tblPrEx>
        <w:tc>
          <w:tcPr>
            <w:tcW w:w="7848" w:type="dxa"/>
            <w:gridSpan w:val="2"/>
            <w:tcBorders>
              <w:left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309A0" w:rsidRPr="00421409" w:rsidRDefault="001309A0" w:rsidP="00ED672E">
            <w:pPr>
              <w:widowControl w:val="0"/>
              <w:tabs>
                <w:tab w:val="left" w:pos="900"/>
                <w:tab w:val="left" w:pos="6360"/>
              </w:tabs>
              <w:spacing w:line="294" w:lineRule="exact"/>
              <w:rPr>
                <w:rFonts w:ascii="Times New Roman" w:hAnsi="Times New Roman" w:cs="Times New Roman"/>
                <w:b/>
                <w:bCs/>
                <w:color w:val="365F91"/>
                <w:sz w:val="24"/>
                <w:szCs w:val="24"/>
              </w:rPr>
            </w:pPr>
            <w:r w:rsidRPr="00421409">
              <w:rPr>
                <w:rFonts w:ascii="Times New Roman" w:hAnsi="Times New Roman" w:cs="Times New Roman"/>
                <w:b/>
                <w:bCs/>
                <w:i/>
                <w:color w:val="365F91"/>
                <w:sz w:val="24"/>
                <w:szCs w:val="24"/>
              </w:rPr>
              <w:t>Audit Team: Additional Evidence Reviewed:</w:t>
            </w:r>
          </w:p>
        </w:tc>
        <w:tc>
          <w:tcPr>
            <w:tcW w:w="1620" w:type="dxa"/>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r w:rsidR="001309A0" w:rsidRPr="008A12A8" w:rsidTr="00ED672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1309A0" w:rsidRPr="008A12A8" w:rsidRDefault="001309A0" w:rsidP="00ED672E">
            <w:pPr>
              <w:widowControl w:val="0"/>
              <w:tabs>
                <w:tab w:val="left" w:pos="900"/>
                <w:tab w:val="left" w:pos="6360"/>
              </w:tabs>
              <w:spacing w:line="294" w:lineRule="exact"/>
              <w:rPr>
                <w:rFonts w:ascii="Times New Roman" w:hAnsi="Times New Roman" w:cs="Times New Roman"/>
                <w:b/>
                <w:bCs/>
                <w:sz w:val="24"/>
                <w:szCs w:val="24"/>
              </w:rPr>
            </w:pPr>
          </w:p>
        </w:tc>
      </w:tr>
    </w:tbl>
    <w:p w:rsidR="001309A0" w:rsidRPr="001309A0" w:rsidRDefault="001309A0" w:rsidP="00AD5422">
      <w:pPr>
        <w:widowControl w:val="0"/>
        <w:tabs>
          <w:tab w:val="left" w:pos="900"/>
          <w:tab w:val="left" w:pos="6360"/>
        </w:tabs>
        <w:spacing w:line="294" w:lineRule="exact"/>
        <w:rPr>
          <w:rFonts w:ascii="Times New Roman" w:hAnsi="Times New Roman" w:cs="Times New Roman"/>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17363B">
        <w:rPr>
          <w:rFonts w:ascii="Times New Roman" w:hAnsi="Times New Roman" w:cs="Times New Roman"/>
          <w:b/>
          <w:bCs/>
          <w:color w:val="264D74"/>
          <w:sz w:val="24"/>
          <w:szCs w:val="24"/>
        </w:rPr>
        <w:t>INT-006-3</w:t>
      </w:r>
      <w:r w:rsidR="005662A8">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Pr="00A74C27" w:rsidRDefault="00C46F97" w:rsidP="005662A8">
      <w:pPr>
        <w:widowControl w:val="0"/>
        <w:tabs>
          <w:tab w:val="left" w:pos="1080"/>
        </w:tabs>
        <w:spacing w:line="284" w:lineRule="exact"/>
        <w:ind w:left="1530" w:hanging="144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5662A8">
        <w:rPr>
          <w:rFonts w:ascii="Times New Roman" w:hAnsi="Times New Roman" w:cs="Times New Roman"/>
          <w:color w:val="365F91"/>
          <w:sz w:val="24"/>
          <w:szCs w:val="24"/>
        </w:rPr>
        <w:t>Verify that prior to the expiration of the reliability assessment period defined in the Timing Table, Column B, the BA or TSP responded to a request from an IA to transition an Arranged Interchange to a Confirmed Interchange.</w:t>
      </w:r>
      <w:r w:rsidR="00AD5422" w:rsidRPr="00A74C27">
        <w:rPr>
          <w:rFonts w:ascii="Times New Roman" w:hAnsi="Times New Roman" w:cs="Times New Roman"/>
          <w:color w:val="365F91"/>
          <w:sz w:val="24"/>
          <w:szCs w:val="24"/>
        </w:rPr>
        <w:t xml:space="preserve"> </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550B4B" w:rsidRDefault="00C46F97" w:rsidP="00550B4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295F">
        <w:rPr>
          <w:rFonts w:ascii="Times New Roman" w:hAnsi="Times New Roman" w:cs="Times New Roman"/>
          <w:color w:val="365F91"/>
          <w:sz w:val="24"/>
          <w:szCs w:val="24"/>
          <w:u w:val="single"/>
        </w:rPr>
        <w:t xml:space="preserve">       </w:t>
      </w:r>
      <w:r w:rsidR="009B295F" w:rsidRPr="009B295F">
        <w:rPr>
          <w:rFonts w:ascii="Times New Roman" w:hAnsi="Times New Roman" w:cs="Times New Roman"/>
          <w:color w:val="365F91"/>
          <w:sz w:val="24"/>
          <w:szCs w:val="24"/>
        </w:rPr>
        <w:t>T</w:t>
      </w:r>
      <w:r w:rsidR="00550B4B">
        <w:rPr>
          <w:rFonts w:ascii="Times New Roman" w:hAnsi="Times New Roman" w:cs="Times New Roman"/>
          <w:color w:val="365F91"/>
          <w:sz w:val="24"/>
          <w:szCs w:val="24"/>
        </w:rPr>
        <w:t>he BA evaluated the Arranged Interchange with respect to:</w:t>
      </w:r>
    </w:p>
    <w:p w:rsidR="009B295F" w:rsidRDefault="009B295F" w:rsidP="00550B4B">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550B4B" w:rsidRDefault="00550B4B" w:rsidP="0017363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295F">
        <w:rPr>
          <w:rFonts w:ascii="Times New Roman" w:hAnsi="Times New Roman" w:cs="Times New Roman"/>
          <w:color w:val="365F91"/>
          <w:sz w:val="24"/>
          <w:szCs w:val="24"/>
        </w:rPr>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Energy profile</w:t>
      </w:r>
    </w:p>
    <w:p w:rsidR="00550B4B" w:rsidRDefault="00550B4B" w:rsidP="0017363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295F">
        <w:rPr>
          <w:rFonts w:ascii="Times New Roman" w:hAnsi="Times New Roman" w:cs="Times New Roman"/>
          <w:color w:val="365F91"/>
          <w:sz w:val="24"/>
          <w:szCs w:val="24"/>
        </w:rPr>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Ramp</w:t>
      </w:r>
    </w:p>
    <w:p w:rsidR="00550B4B" w:rsidRDefault="00550B4B" w:rsidP="0017363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B295F">
        <w:rPr>
          <w:rFonts w:ascii="Times New Roman" w:hAnsi="Times New Roman" w:cs="Times New Roman"/>
          <w:color w:val="365F91"/>
          <w:sz w:val="24"/>
          <w:szCs w:val="24"/>
        </w:rPr>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b/>
        <w:t>Scheduling path</w:t>
      </w:r>
    </w:p>
    <w:p w:rsidR="00550B4B" w:rsidRDefault="009B295F" w:rsidP="0017363B">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550B4B" w:rsidRDefault="001818CD" w:rsidP="00550B4B">
      <w:pPr>
        <w:widowControl w:val="0"/>
        <w:tabs>
          <w:tab w:val="left" w:pos="1080"/>
          <w:tab w:val="left" w:pos="1560"/>
        </w:tabs>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u w:val="single"/>
        </w:rPr>
        <w:t xml:space="preserve">       </w:t>
      </w:r>
      <w:r w:rsidR="009B295F">
        <w:rPr>
          <w:rFonts w:ascii="Times New Roman" w:hAnsi="Times New Roman" w:cs="Times New Roman"/>
          <w:color w:val="365F91"/>
          <w:sz w:val="24"/>
          <w:szCs w:val="24"/>
        </w:rPr>
        <w:t>T</w:t>
      </w:r>
      <w:r w:rsidR="00550B4B">
        <w:rPr>
          <w:rFonts w:ascii="Times New Roman" w:hAnsi="Times New Roman" w:cs="Times New Roman"/>
          <w:color w:val="365F91"/>
          <w:sz w:val="24"/>
          <w:szCs w:val="24"/>
        </w:rPr>
        <w:t>he TSP confirmed that the transmission service arrangement</w:t>
      </w:r>
      <w:r w:rsidR="009B295F">
        <w:rPr>
          <w:rFonts w:ascii="Times New Roman" w:hAnsi="Times New Roman" w:cs="Times New Roman"/>
          <w:color w:val="365F91"/>
          <w:sz w:val="24"/>
          <w:szCs w:val="24"/>
        </w:rPr>
        <w:t>s</w:t>
      </w:r>
      <w:r w:rsidR="00550B4B">
        <w:rPr>
          <w:rFonts w:ascii="Times New Roman" w:hAnsi="Times New Roman" w:cs="Times New Roman"/>
          <w:color w:val="365F91"/>
          <w:sz w:val="24"/>
          <w:szCs w:val="24"/>
        </w:rPr>
        <w:t xml:space="preserve"> associated with the Arranged Interchange have </w:t>
      </w:r>
      <w:r w:rsidR="009B295F">
        <w:rPr>
          <w:rFonts w:ascii="Times New Roman" w:hAnsi="Times New Roman" w:cs="Times New Roman"/>
          <w:color w:val="365F91"/>
          <w:sz w:val="24"/>
          <w:szCs w:val="24"/>
        </w:rPr>
        <w:t>adjacent TSP connectivity, were:</w:t>
      </w:r>
    </w:p>
    <w:p w:rsidR="009B295F" w:rsidRDefault="009B295F" w:rsidP="00550B4B">
      <w:pPr>
        <w:widowControl w:val="0"/>
        <w:tabs>
          <w:tab w:val="left" w:pos="1080"/>
          <w:tab w:val="left" w:pos="1560"/>
        </w:tabs>
        <w:spacing w:line="240" w:lineRule="exact"/>
        <w:ind w:left="1620"/>
        <w:rPr>
          <w:rFonts w:ascii="Times New Roman" w:hAnsi="Times New Roman" w:cs="Times New Roman"/>
          <w:color w:val="365F91"/>
          <w:sz w:val="24"/>
          <w:szCs w:val="24"/>
        </w:rPr>
      </w:pPr>
    </w:p>
    <w:p w:rsidR="009B295F" w:rsidRDefault="009B295F" w:rsidP="009B295F">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Valid</w:t>
      </w:r>
    </w:p>
    <w:p w:rsidR="009B295F" w:rsidRDefault="009B295F" w:rsidP="009B295F">
      <w:pPr>
        <w:widowControl w:val="0"/>
        <w:tabs>
          <w:tab w:val="left" w:pos="1080"/>
          <w:tab w:val="left" w:pos="1560"/>
        </w:tabs>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001818CD">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ab/>
      </w:r>
      <w:r w:rsidR="001309A0">
        <w:rPr>
          <w:rFonts w:ascii="Times New Roman" w:hAnsi="Times New Roman" w:cs="Times New Roman"/>
          <w:color w:val="365F91"/>
          <w:sz w:val="24"/>
          <w:szCs w:val="24"/>
        </w:rPr>
        <w:t xml:space="preserve"> </w:t>
      </w:r>
      <w:r>
        <w:rPr>
          <w:rFonts w:ascii="Times New Roman" w:hAnsi="Times New Roman" w:cs="Times New Roman"/>
          <w:color w:val="365F91"/>
          <w:sz w:val="24"/>
          <w:szCs w:val="24"/>
        </w:rPr>
        <w:t>Prevailing transmission syst</w:t>
      </w:r>
      <w:r w:rsidR="001309A0">
        <w:rPr>
          <w:rFonts w:ascii="Times New Roman" w:hAnsi="Times New Roman" w:cs="Times New Roman"/>
          <w:color w:val="365F91"/>
          <w:sz w:val="24"/>
          <w:szCs w:val="24"/>
        </w:rPr>
        <w:t>em limits would not be violated</w:t>
      </w:r>
    </w:p>
    <w:p w:rsidR="009B295F" w:rsidRDefault="009B295F" w:rsidP="009B295F">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9C039C" w:rsidRDefault="001309A0" w:rsidP="00AD542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 Detailed N</w:t>
      </w:r>
      <w:r w:rsidR="00AD5422" w:rsidRPr="009C039C">
        <w:rPr>
          <w:rFonts w:ascii="Times New Roman" w:hAnsi="Times New Roman" w:cs="Times New Roman"/>
          <w:b/>
          <w:bCs/>
          <w:color w:val="264D74"/>
          <w:sz w:val="24"/>
          <w:szCs w:val="24"/>
        </w:rPr>
        <w:t>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C46F97" w:rsidRDefault="00C46F97" w:rsidP="00281790">
      <w:pPr>
        <w:widowControl w:val="0"/>
        <w:spacing w:line="294" w:lineRule="exact"/>
        <w:rPr>
          <w:rFonts w:ascii="Times New Roman" w:hAnsi="Times New Roman" w:cs="Times New Roman"/>
          <w:b/>
          <w:bCs/>
          <w:color w:val="003366"/>
          <w:sz w:val="24"/>
          <w:szCs w:val="24"/>
        </w:rPr>
      </w:pPr>
    </w:p>
    <w:p w:rsidR="003A3FE5" w:rsidRDefault="003A3FE5" w:rsidP="00A74C27">
      <w:pPr>
        <w:pStyle w:val="Heading1"/>
      </w:pPr>
    </w:p>
    <w:p w:rsidR="00A74C27" w:rsidRDefault="00A74C27" w:rsidP="00A74C27">
      <w:pPr>
        <w:pStyle w:val="Heading1"/>
      </w:pPr>
      <w:r>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201161" w:rsidRPr="00A7057B" w:rsidRDefault="00201161" w:rsidP="00201161">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Default="00AD5422" w:rsidP="00A74C27">
      <w:pPr>
        <w:widowControl w:val="0"/>
        <w:tabs>
          <w:tab w:val="left" w:pos="720"/>
        </w:tabs>
        <w:spacing w:line="294" w:lineRule="exact"/>
        <w:rPr>
          <w:rFonts w:ascii="Times New Roman" w:hAnsi="Times New Roman" w:cs="Times New Roman"/>
          <w:sz w:val="24"/>
          <w:szCs w:val="24"/>
        </w:rPr>
      </w:pPr>
    </w:p>
    <w:p w:rsidR="001309A0" w:rsidRDefault="001309A0" w:rsidP="00A74C27">
      <w:pPr>
        <w:widowControl w:val="0"/>
        <w:tabs>
          <w:tab w:val="left" w:pos="720"/>
        </w:tabs>
        <w:spacing w:line="294" w:lineRule="exact"/>
        <w:rPr>
          <w:rFonts w:ascii="Times New Roman" w:hAnsi="Times New Roman" w:cs="Times New Roman"/>
          <w:sz w:val="24"/>
          <w:szCs w:val="24"/>
        </w:rPr>
      </w:pPr>
    </w:p>
    <w:p w:rsidR="001309A0" w:rsidRDefault="001309A0" w:rsidP="00A74C27">
      <w:pPr>
        <w:widowControl w:val="0"/>
        <w:tabs>
          <w:tab w:val="left" w:pos="720"/>
        </w:tabs>
        <w:spacing w:line="294" w:lineRule="exact"/>
        <w:rPr>
          <w:rFonts w:ascii="Times New Roman" w:hAnsi="Times New Roman" w:cs="Times New Roman"/>
          <w:sz w:val="24"/>
          <w:szCs w:val="24"/>
        </w:rPr>
      </w:pPr>
    </w:p>
    <w:p w:rsidR="001309A0" w:rsidRDefault="001309A0" w:rsidP="00A74C27">
      <w:pPr>
        <w:widowControl w:val="0"/>
        <w:tabs>
          <w:tab w:val="left" w:pos="720"/>
        </w:tabs>
        <w:spacing w:line="294" w:lineRule="exact"/>
        <w:rPr>
          <w:rFonts w:ascii="Times New Roman" w:hAnsi="Times New Roman" w:cs="Times New Roman"/>
          <w:sz w:val="24"/>
          <w:szCs w:val="24"/>
        </w:rPr>
      </w:pPr>
    </w:p>
    <w:p w:rsidR="001309A0" w:rsidRPr="008374A0" w:rsidRDefault="001309A0"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3A3FE5">
        <w:t>Compliance Findings Summary</w:t>
      </w:r>
      <w:r>
        <w:t xml:space="preserve"> </w:t>
      </w:r>
      <w:r w:rsidRPr="001F77C7">
        <w:rPr>
          <w:sz w:val="20"/>
          <w:szCs w:val="20"/>
        </w:rPr>
        <w:t>(to be filled out by auditor)</w:t>
      </w:r>
    </w:p>
    <w:p w:rsidR="00542744" w:rsidRPr="00542744" w:rsidRDefault="00542744" w:rsidP="00542744"/>
    <w:tbl>
      <w:tblPr>
        <w:tblW w:w="0" w:type="auto"/>
        <w:tblLook w:val="00A0" w:firstRow="1" w:lastRow="0" w:firstColumn="1" w:lastColumn="0" w:noHBand="0" w:noVBand="0"/>
      </w:tblPr>
      <w:tblGrid>
        <w:gridCol w:w="692"/>
        <w:gridCol w:w="538"/>
        <w:gridCol w:w="572"/>
        <w:gridCol w:w="737"/>
        <w:gridCol w:w="563"/>
        <w:gridCol w:w="7914"/>
      </w:tblGrid>
      <w:tr w:rsidR="001309A0" w:rsidRPr="008374A0" w:rsidTr="001309A0">
        <w:tc>
          <w:tcPr>
            <w:tcW w:w="692" w:type="dxa"/>
            <w:tcBorders>
              <w:top w:val="single" w:sz="4" w:space="0" w:color="548DD4"/>
              <w:bottom w:val="single" w:sz="4" w:space="0" w:color="548DD4"/>
            </w:tcBorders>
          </w:tcPr>
          <w:p w:rsidR="001309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8" w:type="dxa"/>
            <w:tcBorders>
              <w:top w:val="single" w:sz="4" w:space="0" w:color="548DD4"/>
              <w:bottom w:val="single" w:sz="4" w:space="0" w:color="548DD4"/>
            </w:tcBorders>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bottom w:val="single" w:sz="4" w:space="0" w:color="548DD4"/>
            </w:tcBorders>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1309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63" w:type="dxa"/>
            <w:tcBorders>
              <w:top w:val="single" w:sz="4" w:space="0" w:color="548DD4"/>
              <w:bottom w:val="single" w:sz="4" w:space="0" w:color="548DD4"/>
            </w:tcBorders>
          </w:tcPr>
          <w:p w:rsidR="001309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914" w:type="dxa"/>
            <w:tcBorders>
              <w:top w:val="single" w:sz="4" w:space="0" w:color="548DD4"/>
              <w:bottom w:val="single" w:sz="4" w:space="0" w:color="548DD4"/>
            </w:tcBorders>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309A0" w:rsidRPr="008374A0" w:rsidTr="001309A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8"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63"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914" w:type="dxa"/>
            <w:tcBorders>
              <w:top w:val="single" w:sz="4" w:space="0" w:color="548DD4"/>
              <w:left w:val="single" w:sz="4" w:space="0" w:color="548DD4"/>
              <w:bottom w:val="single" w:sz="4" w:space="0" w:color="548DD4"/>
              <w:right w:val="single" w:sz="4" w:space="0" w:color="548DD4"/>
            </w:tcBorders>
            <w:shd w:val="clear" w:color="auto" w:fill="D3DFEE"/>
          </w:tcPr>
          <w:p w:rsidR="001309A0" w:rsidRPr="008374A0" w:rsidRDefault="001309A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625E81" w:rsidRPr="00BF2B51" w:rsidRDefault="001309A0" w:rsidP="00625E81">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625E81" w:rsidRPr="00BF2B51">
        <w:rPr>
          <w:rFonts w:ascii="Times New Roman" w:hAnsi="Times New Roman" w:cs="Times New Roman"/>
          <w:b/>
          <w:sz w:val="24"/>
          <w:szCs w:val="24"/>
        </w:rPr>
        <w:t>rom FERC Orders -- For Reference Purposes Only</w:t>
      </w:r>
    </w:p>
    <w:p w:rsidR="00625E81" w:rsidRDefault="00625E81" w:rsidP="00625E81">
      <w:pPr>
        <w:pStyle w:val="Header"/>
        <w:jc w:val="right"/>
        <w:rPr>
          <w:rFonts w:ascii="Times New Roman" w:hAnsi="Times New Roman" w:cs="Times New Roman"/>
          <w:b/>
          <w:sz w:val="24"/>
          <w:szCs w:val="24"/>
        </w:rPr>
      </w:pPr>
      <w:r w:rsidRPr="00BF2B51">
        <w:rPr>
          <w:rFonts w:ascii="Times New Roman" w:hAnsi="Times New Roman" w:cs="Times New Roman"/>
          <w:b/>
          <w:sz w:val="24"/>
          <w:szCs w:val="24"/>
        </w:rPr>
        <w:t xml:space="preserve">Updated Through </w:t>
      </w:r>
      <w:r w:rsidR="00BF2B51">
        <w:rPr>
          <w:rFonts w:ascii="Times New Roman" w:hAnsi="Times New Roman" w:cs="Times New Roman"/>
          <w:b/>
          <w:sz w:val="24"/>
          <w:szCs w:val="24"/>
        </w:rPr>
        <w:t>September 1, 2010</w:t>
      </w:r>
    </w:p>
    <w:p w:rsidR="00625E81" w:rsidRDefault="00F146BE" w:rsidP="00625E81">
      <w:pPr>
        <w:pStyle w:val="Header"/>
        <w:jc w:val="right"/>
        <w:rPr>
          <w:rFonts w:ascii="Times New Roman" w:hAnsi="Times New Roman" w:cs="Times New Roman"/>
          <w:b/>
          <w:sz w:val="24"/>
          <w:szCs w:val="24"/>
        </w:rPr>
      </w:pPr>
      <w:r>
        <w:rPr>
          <w:rFonts w:ascii="Times New Roman" w:hAnsi="Times New Roman" w:cs="Times New Roman"/>
          <w:b/>
          <w:sz w:val="24"/>
          <w:szCs w:val="24"/>
        </w:rPr>
        <w:t>INT-006-3</w:t>
      </w:r>
    </w:p>
    <w:bookmarkEnd w:id="2"/>
    <w:bookmarkEnd w:id="3"/>
    <w:p w:rsidR="00625E81" w:rsidRDefault="00625E81" w:rsidP="00625E81">
      <w:pPr>
        <w:rPr>
          <w:rFonts w:ascii="Times New Roman" w:hAnsi="Times New Roman" w:cs="Times New Roman"/>
          <w:b/>
          <w:sz w:val="24"/>
          <w:szCs w:val="24"/>
        </w:rPr>
      </w:pPr>
    </w:p>
    <w:p w:rsidR="00625E81" w:rsidRDefault="00625E81" w:rsidP="00625E81">
      <w:pPr>
        <w:rPr>
          <w:rFonts w:ascii="Times New Roman" w:hAnsi="Times New Roman" w:cs="Times New Roman"/>
          <w:b/>
          <w:sz w:val="24"/>
          <w:szCs w:val="24"/>
        </w:rPr>
      </w:pPr>
      <w:r>
        <w:rPr>
          <w:rFonts w:ascii="Times New Roman" w:hAnsi="Times New Roman" w:cs="Times New Roman"/>
          <w:b/>
          <w:sz w:val="24"/>
          <w:szCs w:val="24"/>
        </w:rPr>
        <w:t>Order 693</w:t>
      </w:r>
    </w:p>
    <w:p w:rsidR="00BF2B51" w:rsidRDefault="00883F37" w:rsidP="00625E81">
      <w:pPr>
        <w:rPr>
          <w:rFonts w:ascii="Times New Roman" w:hAnsi="Times New Roman" w:cs="Times New Roman"/>
          <w:b/>
          <w:sz w:val="24"/>
          <w:szCs w:val="24"/>
        </w:rPr>
      </w:pPr>
      <w:r>
        <w:rPr>
          <w:rFonts w:ascii="Times New Roman" w:hAnsi="Times New Roman" w:cs="Times New Roman"/>
          <w:b/>
          <w:sz w:val="24"/>
          <w:szCs w:val="24"/>
        </w:rPr>
        <w:t>March 16, 2007</w:t>
      </w:r>
    </w:p>
    <w:p w:rsidR="00883F37" w:rsidRDefault="00883F37" w:rsidP="00625E81">
      <w:pPr>
        <w:rPr>
          <w:rFonts w:ascii="Times New Roman" w:hAnsi="Times New Roman" w:cs="Times New Roman"/>
          <w:b/>
          <w:sz w:val="24"/>
          <w:szCs w:val="24"/>
        </w:rPr>
      </w:pPr>
    </w:p>
    <w:p w:rsidR="00BF2B51" w:rsidRDefault="00BF2B51" w:rsidP="00625E81">
      <w:pPr>
        <w:rPr>
          <w:rFonts w:ascii="Times New Roman" w:hAnsi="Times New Roman" w:cs="Times New Roman"/>
          <w:b/>
          <w:sz w:val="24"/>
          <w:szCs w:val="24"/>
        </w:rPr>
      </w:pPr>
      <w:r>
        <w:rPr>
          <w:rFonts w:ascii="Times New Roman" w:hAnsi="Times New Roman" w:cs="Times New Roman"/>
          <w:b/>
          <w:sz w:val="24"/>
          <w:szCs w:val="24"/>
        </w:rPr>
        <w:t>INT-006-1</w:t>
      </w:r>
    </w:p>
    <w:p w:rsidR="00281790" w:rsidRDefault="00281790" w:rsidP="00625E81">
      <w:pPr>
        <w:pStyle w:val="Header"/>
        <w:jc w:val="right"/>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849. INT-006-1 applies to balancing authorities and transmission service providers, and requires these entities to evaluate the energy profile and ramp rate of generation that supports interchange transactions in response to a request from an interchange authority to change the status of an interchange from an arranged interchange transaction to a confirmed interchange.</w:t>
      </w:r>
    </w:p>
    <w:p w:rsidR="00BF2B51" w:rsidRPr="00937AFE"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850. The Commission proposed in the NOPR to approve Reliability Standard INT-006- 1 as mandatory and enforceable. In addition, the Commission proposed to direct NERC to submit a modification to INT-006-1 that: (1) makes it applicable to reliability coordinators and transmission operators and (2) requires reliability coordinators and transmission operators to review composite transactions from the wide-area reliability viewpoint and, where their review indicates a potential detrimental reliability impact, communicate to the sink balancing authorities necessary transaction modifications before implementation.</w:t>
      </w:r>
    </w:p>
    <w:p w:rsidR="00BF2B51" w:rsidRPr="00937AFE" w:rsidRDefault="00BF2B51" w:rsidP="00BF2B51">
      <w:pPr>
        <w:pStyle w:val="Heade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859. The Commission approves INT-006-1 as mandatory and enforceable. In addition, we direct that NERC develop modifications to the Reliability Standard, as discussed below.</w:t>
      </w:r>
    </w:p>
    <w:p w:rsidR="00BF2B51" w:rsidRPr="00937AFE"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860. The Commission remains convinced that a proactive approach is superior to a reactive approach in maintaining system reliability. While EEI and Entergy claim that reliability coordinators and transmission operators’ involvement in reliability reviews of interchange transactions are covered in INT-005 through INT-010, and MISO claims that such review is covered in other Reliability Standards, we note the following: References to reliability coordinator and transmission operator involvement are virtually absent from the INT Reliability Standards. One finds such references only in Requirement R2 of INT-010, which deals with interchange coordination exemptions, and there the involvement of reliability coordinators is restricted to situations that involve current or imminent reliability-related reasons for action. We cannot find any Requirements in the remaining INT Reliability Standards that require a wide-area reliability assessment, regardless of the time periods, by a reliability coordinator; wide-area reliability assessment, moreover, can only be carried out by reliability coordinators.</w:t>
      </w:r>
    </w:p>
    <w:p w:rsidR="00BF2B51" w:rsidRPr="00937AFE" w:rsidRDefault="00BF2B51" w:rsidP="00BF2B51">
      <w:pPr>
        <w:pStyle w:val="Header"/>
        <w:rPr>
          <w:rFonts w:ascii="Times New Roman" w:hAnsi="Times New Roman" w:cs="Times New Roman"/>
          <w:sz w:val="24"/>
          <w:szCs w:val="24"/>
        </w:rPr>
      </w:pPr>
    </w:p>
    <w:p w:rsidR="00BF2B51"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866. Accordingly, the Commission approves Reliability Standard INT-006-1 as mandatory and enforceable. In addition, the Commission directs the ERO to develop a modification to INT-006-1 through the Reliability Standards development process that: (1) makes it applicable to reliability coordinators and transmission operators and (2) requires reliability coordinators and transmission operators to review energy interchange transactions from the wide-area and local area reliability viewpoints respectively and, where their review indicates a potential detrimental reliability impact, communicate to the sink balancing authorities necessary transaction modifications before implementation. We also direct that the ERO consider the suggestions made by EEI and TVA and address the questions raised by Entergy and Northern Indiana in the course of the Reliability Standards development process.</w:t>
      </w:r>
    </w:p>
    <w:p w:rsidR="00BF2B51"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b/>
          <w:sz w:val="24"/>
          <w:szCs w:val="24"/>
        </w:rPr>
      </w:pPr>
      <w:r w:rsidRPr="00937AFE">
        <w:rPr>
          <w:rFonts w:ascii="Times New Roman" w:hAnsi="Times New Roman" w:cs="Times New Roman"/>
          <w:b/>
          <w:sz w:val="24"/>
          <w:szCs w:val="24"/>
        </w:rPr>
        <w:t>Order 713</w:t>
      </w:r>
    </w:p>
    <w:p w:rsidR="00BF2B51" w:rsidRDefault="00BF2B51" w:rsidP="00BF2B51">
      <w:pPr>
        <w:rPr>
          <w:rFonts w:ascii="Times New Roman" w:hAnsi="Times New Roman" w:cs="Times New Roman"/>
          <w:b/>
          <w:sz w:val="24"/>
          <w:szCs w:val="24"/>
        </w:rPr>
      </w:pPr>
      <w:r w:rsidRPr="00937AFE">
        <w:rPr>
          <w:rFonts w:ascii="Times New Roman" w:hAnsi="Times New Roman" w:cs="Times New Roman"/>
          <w:b/>
          <w:sz w:val="24"/>
          <w:szCs w:val="24"/>
        </w:rPr>
        <w:t>July 21, 2008</w:t>
      </w:r>
    </w:p>
    <w:p w:rsidR="00BF2B51" w:rsidRDefault="00BF2B51" w:rsidP="00BF2B51">
      <w:pPr>
        <w:rPr>
          <w:rFonts w:ascii="Times New Roman" w:hAnsi="Times New Roman" w:cs="Times New Roman"/>
          <w:b/>
          <w:sz w:val="24"/>
          <w:szCs w:val="24"/>
        </w:rPr>
      </w:pPr>
    </w:p>
    <w:p w:rsidR="00BF2B51" w:rsidRPr="00937AFE" w:rsidRDefault="00BF2B51" w:rsidP="00BF2B51">
      <w:pPr>
        <w:rPr>
          <w:rFonts w:ascii="Times New Roman" w:hAnsi="Times New Roman" w:cs="Times New Roman"/>
          <w:b/>
          <w:sz w:val="24"/>
          <w:szCs w:val="24"/>
        </w:rPr>
      </w:pPr>
      <w:r>
        <w:rPr>
          <w:rFonts w:ascii="Times New Roman" w:hAnsi="Times New Roman" w:cs="Times New Roman"/>
          <w:b/>
          <w:sz w:val="24"/>
          <w:szCs w:val="24"/>
        </w:rPr>
        <w:t>INT-006-2</w:t>
      </w:r>
    </w:p>
    <w:p w:rsidR="00BF2B51" w:rsidRPr="00937AFE" w:rsidRDefault="00BF2B51" w:rsidP="00BF2B51">
      <w:pPr>
        <w:rPr>
          <w:rFonts w:ascii="TimesNewRomanPSMT" w:hAnsi="TimesNewRomanPSMT" w:cs="TimesNewRomanPSMT"/>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62. Reliability Standards for INT-005-2, INT-006-2, and INT-008-2 increase the timeframe for applicable WECC entities to perform the reliability assessment from five to ten minutes for next hour interchange tags submitted in the first thirty minutes of the hour before. According to NERC, this modification is needed because the majority of next hour tags in WECC are submitted between xx:00 and xx:30. The existing five minute assessment window makes it nearly impossible for balancing authorities and transmission service providers to review each tag before the five minute assessment time expires. According to NERC, when the time expires, the tags are denied and must be resubmitted.</w:t>
      </w:r>
    </w:p>
    <w:p w:rsidR="00BF2B51" w:rsidRPr="00937AFE"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63. In its December 26, 2007 filing, NERC stated that WECC has experienced numerous instances of transactions being denied because one or more applicable reliability entities did not actively approve the tag. In NERC’s view, the current structure causes frustration and inefficiencies for entities involved in this process, as requestors are required to re-create tags that are denied. Further, NERC stated that there is no reliability basis for a five minute assessment period for tags submitted at least thirty minutes ahead of the ramp-in period.</w:t>
      </w:r>
    </w:p>
    <w:p w:rsidR="00BF2B51" w:rsidRPr="00937AFE" w:rsidRDefault="00BF2B51" w:rsidP="00BF2B51">
      <w:pPr>
        <w:rPr>
          <w:rFonts w:ascii="Times New Roman" w:hAnsi="Times New Roman" w:cs="Times New Roman"/>
          <w:sz w:val="24"/>
          <w:szCs w:val="24"/>
        </w:rPr>
      </w:pPr>
    </w:p>
    <w:p w:rsidR="00BF2B51" w:rsidRPr="00937AFE" w:rsidRDefault="00BF2B51" w:rsidP="00BF2B51">
      <w:pPr>
        <w:rPr>
          <w:rFonts w:ascii="Times New Roman" w:hAnsi="Times New Roman" w:cs="Times New Roman"/>
          <w:sz w:val="24"/>
          <w:szCs w:val="24"/>
        </w:rPr>
      </w:pPr>
      <w:r w:rsidRPr="00937AFE">
        <w:rPr>
          <w:rFonts w:ascii="Times New Roman" w:hAnsi="Times New Roman" w:cs="Times New Roman"/>
          <w:sz w:val="24"/>
          <w:szCs w:val="24"/>
        </w:rPr>
        <w:t>64. NERC noted that, prior to January 1, 2007, when the new INT group of Reliability Standards was implemented WECC had a ten-minute reliability assessment period for next-hour tags. NERC states that the urgent action request restores assessment times back to ten minutes.</w:t>
      </w:r>
    </w:p>
    <w:p w:rsidR="00BF2B51" w:rsidRPr="00937AFE" w:rsidRDefault="00BF2B51" w:rsidP="00BF2B51">
      <w:pPr>
        <w:pStyle w:val="Header"/>
        <w:jc w:val="right"/>
        <w:rPr>
          <w:rFonts w:ascii="Times New Roman" w:hAnsi="Times New Roman" w:cs="Times New Roman"/>
          <w:sz w:val="24"/>
          <w:szCs w:val="24"/>
        </w:rPr>
      </w:pPr>
    </w:p>
    <w:p w:rsidR="00BF2B51" w:rsidRDefault="00BF2B51" w:rsidP="00BF2B51">
      <w:pPr>
        <w:pStyle w:val="Header"/>
        <w:rPr>
          <w:rFonts w:ascii="Times New Roman" w:hAnsi="Times New Roman" w:cs="Times New Roman"/>
          <w:sz w:val="24"/>
          <w:szCs w:val="24"/>
        </w:rPr>
      </w:pPr>
      <w:r w:rsidRPr="00937AFE">
        <w:rPr>
          <w:rFonts w:ascii="Times New Roman" w:hAnsi="Times New Roman" w:cs="Times New Roman"/>
          <w:sz w:val="24"/>
          <w:szCs w:val="24"/>
        </w:rPr>
        <w:t>67. Pursuant to section 215(d) of the FPA, the Commission approves Reliability Standards INT-005-2, INT-006-2, and INT-008-2 as mandatory and enforceable.</w:t>
      </w:r>
    </w:p>
    <w:p w:rsidR="00BF2B51" w:rsidRDefault="00BF2B51" w:rsidP="00BF2B51">
      <w:pPr>
        <w:pStyle w:val="Header"/>
        <w:rPr>
          <w:rFonts w:ascii="Times New Roman" w:hAnsi="Times New Roman" w:cs="Times New Roman"/>
          <w:sz w:val="24"/>
          <w:szCs w:val="24"/>
        </w:rPr>
      </w:pPr>
    </w:p>
    <w:p w:rsidR="00BF2B51" w:rsidRDefault="00BF2B51" w:rsidP="00BF2B51">
      <w:pPr>
        <w:pStyle w:val="Header"/>
        <w:rPr>
          <w:rFonts w:ascii="Times New Roman" w:hAnsi="Times New Roman" w:cs="Times New Roman"/>
          <w:sz w:val="24"/>
          <w:szCs w:val="24"/>
        </w:rPr>
      </w:pPr>
    </w:p>
    <w:p w:rsidR="00BF2B51" w:rsidRPr="00937AFE" w:rsidRDefault="00BF2B51" w:rsidP="00BF2B51">
      <w:pPr>
        <w:pStyle w:val="Header"/>
        <w:rPr>
          <w:rFonts w:ascii="Times New Roman" w:hAnsi="Times New Roman" w:cs="Times New Roman"/>
          <w:b/>
          <w:sz w:val="24"/>
          <w:szCs w:val="24"/>
        </w:rPr>
      </w:pPr>
      <w:r w:rsidRPr="00937AFE">
        <w:rPr>
          <w:rFonts w:ascii="Times New Roman" w:hAnsi="Times New Roman" w:cs="Times New Roman"/>
          <w:b/>
          <w:sz w:val="24"/>
          <w:szCs w:val="24"/>
        </w:rPr>
        <w:t>Order 730</w:t>
      </w:r>
    </w:p>
    <w:p w:rsidR="00BF2B51" w:rsidRDefault="00BF2B51" w:rsidP="00BF2B51">
      <w:pPr>
        <w:pStyle w:val="Header"/>
        <w:rPr>
          <w:rFonts w:ascii="Times New Roman" w:hAnsi="Times New Roman" w:cs="Times New Roman"/>
          <w:b/>
          <w:sz w:val="24"/>
          <w:szCs w:val="24"/>
        </w:rPr>
      </w:pPr>
      <w:r w:rsidRPr="00937AFE">
        <w:rPr>
          <w:rFonts w:ascii="Times New Roman" w:hAnsi="Times New Roman" w:cs="Times New Roman"/>
          <w:b/>
          <w:sz w:val="24"/>
          <w:szCs w:val="24"/>
        </w:rPr>
        <w:t>December 17, 2009</w:t>
      </w:r>
    </w:p>
    <w:p w:rsidR="00BF2B51" w:rsidRDefault="00BF2B51" w:rsidP="00BF2B51">
      <w:pPr>
        <w:pStyle w:val="Header"/>
        <w:rPr>
          <w:rFonts w:ascii="Times New Roman" w:hAnsi="Times New Roman" w:cs="Times New Roman"/>
          <w:b/>
          <w:sz w:val="24"/>
          <w:szCs w:val="24"/>
        </w:rPr>
      </w:pPr>
    </w:p>
    <w:p w:rsidR="00BF2B51" w:rsidRPr="00937AFE" w:rsidRDefault="00BF2B51" w:rsidP="00BF2B51">
      <w:pPr>
        <w:pStyle w:val="Header"/>
        <w:rPr>
          <w:rFonts w:ascii="Times New Roman" w:hAnsi="Times New Roman" w:cs="Times New Roman"/>
          <w:b/>
          <w:sz w:val="24"/>
          <w:szCs w:val="24"/>
        </w:rPr>
      </w:pPr>
      <w:r>
        <w:rPr>
          <w:rFonts w:ascii="Times New Roman" w:hAnsi="Times New Roman" w:cs="Times New Roman"/>
          <w:b/>
          <w:sz w:val="24"/>
          <w:szCs w:val="24"/>
        </w:rPr>
        <w:t>INT-006-3</w:t>
      </w:r>
    </w:p>
    <w:p w:rsidR="00BF2B51" w:rsidRDefault="00BF2B51" w:rsidP="00BF2B51">
      <w:pPr>
        <w:pStyle w:val="Default"/>
        <w:rPr>
          <w:sz w:val="26"/>
          <w:szCs w:val="26"/>
        </w:rPr>
      </w:pPr>
    </w:p>
    <w:p w:rsidR="00BF2B51" w:rsidRPr="00937AFE" w:rsidRDefault="00BF2B51" w:rsidP="00BF2B51">
      <w:pPr>
        <w:pStyle w:val="Default"/>
      </w:pPr>
      <w:r w:rsidRPr="00937AFE">
        <w:t>1. Pursuant to section 215 of the Federal Power Act (FPA), the Commission hereby approves three revised Interchange Scheduling and Coordination (INT) Reliability Standards developed by the North American Electric Reliability Corporation (NERC): INT-005-3, Interchange Authority Distributes Arranged Interchange; INT-006-3, Response to Interchange Authority; and INT-008-3, Interchange Authority Distribution of Information.</w:t>
      </w:r>
      <w:r w:rsidRPr="00937AFE">
        <w:rPr>
          <w:b/>
          <w:bCs/>
        </w:rPr>
        <w:t xml:space="preserve">1 </w:t>
      </w:r>
      <w:r w:rsidRPr="00937AFE">
        <w:t xml:space="preserve">The approved changes provide consistency in responding to interchange requests by clarifying timing requirements for all affected entities, and facilitate the reliable operation of the Bulk-Power System by providing Western Electricity Coordinating Council (WECC) entities sufficient time to assess and respond to requests for interchange service. </w:t>
      </w:r>
    </w:p>
    <w:p w:rsidR="00BF2B51" w:rsidRPr="00937AFE" w:rsidRDefault="00BF2B51" w:rsidP="00BF2B51">
      <w:pPr>
        <w:pStyle w:val="Default"/>
      </w:pPr>
    </w:p>
    <w:p w:rsidR="00BF2B51" w:rsidRDefault="00BF2B51" w:rsidP="00BF2B51">
      <w:pPr>
        <w:pStyle w:val="Default"/>
      </w:pPr>
      <w:r w:rsidRPr="00937AFE">
        <w:t xml:space="preserve">16. INT-006-3, Requirement R1 requires communication between balancing authorities, transmission service providers, and an interchange authority regarding when to respond to a request for interchange service: </w:t>
      </w:r>
    </w:p>
    <w:p w:rsidR="00BF2B51" w:rsidRDefault="00BF2B51" w:rsidP="00BF2B51">
      <w:pPr>
        <w:pStyle w:val="Default"/>
      </w:pPr>
    </w:p>
    <w:p w:rsidR="00BF2B51" w:rsidRPr="00937AFE" w:rsidRDefault="00BF2B51" w:rsidP="00BF2B51">
      <w:pPr>
        <w:pStyle w:val="Default"/>
        <w:spacing w:after="240"/>
        <w:ind w:left="1440" w:right="1440"/>
      </w:pPr>
      <w:r w:rsidRPr="00937AFE">
        <w:t xml:space="preserve">Requirement R1: Prior to the expiration of the reliability assessment period defined in the timing requirements tables in this standard, Column B, the Balancing Authority and the Transmission Service Provider shall respond to each On-time Request for Interchange (RFI), and to each Emergency RFI and Reliability Adjustment RFI from an Interchange Authority to transition an Arranged Interchange to a Confirmed Interchange. </w:t>
      </w:r>
    </w:p>
    <w:p w:rsidR="00BF2B51" w:rsidRPr="00937AFE" w:rsidRDefault="00BF2B51" w:rsidP="00BF2B51">
      <w:pPr>
        <w:pStyle w:val="Default"/>
      </w:pPr>
      <w:r w:rsidRPr="00937AFE">
        <w:t>17. Balancing authorities and transmission service providers must review proposed interchange transactions to ensure that transmission service is available and system limits are not violated and must inform the interchange authority whether a request may be confirmed.</w:t>
      </w:r>
      <w:r w:rsidRPr="00937AFE">
        <w:rPr>
          <w:b/>
          <w:bCs/>
        </w:rPr>
        <w:t xml:space="preserve">26 </w:t>
      </w:r>
      <w:r w:rsidRPr="00937AFE">
        <w:t xml:space="preserve">Reliability coordinators and transmission service providers must review composite energy interchange transaction information to ensure that their systems can accommodate the energy, generation is available based on start-up characteristics, and the scheduling path is available on both local and adjacent systems. </w:t>
      </w:r>
    </w:p>
    <w:p w:rsidR="00BF2B51" w:rsidRPr="00937AFE" w:rsidRDefault="00BF2B51" w:rsidP="00BF2B51">
      <w:pPr>
        <w:pStyle w:val="Default"/>
        <w:ind w:left="360" w:hanging="360"/>
      </w:pPr>
    </w:p>
    <w:p w:rsidR="00BF2B51" w:rsidRPr="00937AFE" w:rsidRDefault="00BF2B51" w:rsidP="00BF2B51">
      <w:pPr>
        <w:pStyle w:val="Default"/>
      </w:pPr>
      <w:r w:rsidRPr="00937AFE">
        <w:t>18. NERC’s proposal incorporates one important change from the version 2 requirements. The prior revision, reflected in version 2, requires responsible entities to “respond to a request from an Interchange Authority to transition an Arranged Interchange to a Confirmed Interchange.” This language suggests that a response is required for requests within the designated time periods. In version 3, Requirement R1 is clarified, directing the applicable entity to respond to “on-time” requests for interchange service within a given time period, and also to all Emergency and Reliability Adjustment requests for interchange service.</w:t>
      </w:r>
      <w:r w:rsidRPr="00937AFE">
        <w:rPr>
          <w:b/>
          <w:bCs/>
        </w:rPr>
        <w:t xml:space="preserve">27 </w:t>
      </w:r>
      <w:r w:rsidRPr="00937AFE">
        <w:t xml:space="preserve">Entities are required to respond to each of these latter two requests regardless of the timelines identified in the timing tables, with paperwork to follow later. Time classifications and deadlines apply to both initial arranged interchange submittals and any subsequent modifications to the arranged interchange. </w:t>
      </w:r>
    </w:p>
    <w:p w:rsidR="00BF2B51" w:rsidRPr="00937AFE" w:rsidRDefault="00BF2B51" w:rsidP="00BF2B51">
      <w:pPr>
        <w:pStyle w:val="Default"/>
      </w:pPr>
    </w:p>
    <w:p w:rsidR="00BF2B51" w:rsidRPr="00937AFE" w:rsidRDefault="00BF2B51" w:rsidP="00BF2B51">
      <w:pPr>
        <w:pStyle w:val="Default"/>
      </w:pPr>
      <w:r w:rsidRPr="00937AFE">
        <w:t xml:space="preserve">19. The Commission finds the clarification to INT-006-3, Requirement R1 acceptable. Responsible entities are still required to respond to all on-time requests for interchange service, as well as all requests for Emergency interchange service and Reliability Adjustment interchange service. </w:t>
      </w:r>
    </w:p>
    <w:p w:rsidR="00BF2B51" w:rsidRPr="00937AFE" w:rsidRDefault="00BF2B51" w:rsidP="00BF2B51">
      <w:pPr>
        <w:pStyle w:val="Default"/>
      </w:pPr>
    </w:p>
    <w:p w:rsidR="00BF2B51" w:rsidRDefault="00BF2B51" w:rsidP="00BF2B51">
      <w:pPr>
        <w:pStyle w:val="Default"/>
        <w:rPr>
          <w:sz w:val="26"/>
          <w:szCs w:val="26"/>
        </w:rPr>
      </w:pPr>
      <w:r w:rsidRPr="00937AFE">
        <w:t>21. Consistent with the NOPR, the Commission finds the revisions to the three revised INT Reliability Standards, INT-005-3, INT-006-3 and INT-008-3, and the associated glossary terms reasonable in providing consistent and clear rules for responding to interchange service requests. The Commission accepts the revised INT Reliability Standards as mandatory and enforceable and the related glossary terms, as discussed.</w:t>
      </w:r>
      <w:r>
        <w:rPr>
          <w:sz w:val="26"/>
          <w:szCs w:val="26"/>
        </w:rPr>
        <w:t xml:space="preserve"> </w:t>
      </w:r>
    </w:p>
    <w:p w:rsidR="00937AFE" w:rsidRDefault="00937AFE" w:rsidP="00937AFE">
      <w:pPr>
        <w:pStyle w:val="Default"/>
        <w:rPr>
          <w:sz w:val="26"/>
          <w:szCs w:val="26"/>
        </w:rPr>
      </w:pPr>
    </w:p>
    <w:p w:rsidR="00937AFE" w:rsidRDefault="00937AFE" w:rsidP="00937AFE">
      <w:pPr>
        <w:pStyle w:val="Default"/>
        <w:rPr>
          <w:sz w:val="26"/>
          <w:szCs w:val="26"/>
        </w:rPr>
      </w:pPr>
    </w:p>
    <w:p w:rsidR="00937AFE" w:rsidRDefault="00937AFE" w:rsidP="00937AFE">
      <w:pPr>
        <w:pStyle w:val="Default"/>
        <w:rPr>
          <w:sz w:val="26"/>
          <w:szCs w:val="26"/>
        </w:rPr>
      </w:pPr>
    </w:p>
    <w:p w:rsidR="00937AFE" w:rsidRDefault="00937AFE" w:rsidP="00937AFE">
      <w:pPr>
        <w:pStyle w:val="Default"/>
        <w:spacing w:after="240"/>
        <w:ind w:right="1440"/>
        <w:rPr>
          <w:sz w:val="26"/>
          <w:szCs w:val="26"/>
        </w:rPr>
      </w:pPr>
    </w:p>
    <w:p w:rsidR="00937AFE" w:rsidRPr="00937AFE" w:rsidRDefault="00937AFE" w:rsidP="003A3FE5">
      <w:pPr>
        <w:pStyle w:val="Default"/>
      </w:pPr>
    </w:p>
    <w:p w:rsidR="003A3FE5" w:rsidRDefault="003A3FE5" w:rsidP="003A3FE5">
      <w:pPr>
        <w:pStyle w:val="Header"/>
        <w:rPr>
          <w:rFonts w:ascii="Times New Roman" w:hAnsi="Times New Roman" w:cs="Times New Roman"/>
          <w:sz w:val="24"/>
          <w:szCs w:val="24"/>
        </w:rPr>
      </w:pPr>
    </w:p>
    <w:p w:rsidR="001309A0" w:rsidRDefault="001309A0" w:rsidP="003A3FE5">
      <w:pPr>
        <w:pStyle w:val="Header"/>
        <w:rPr>
          <w:rFonts w:ascii="Times New Roman" w:hAnsi="Times New Roman" w:cs="Times New Roman"/>
          <w:sz w:val="24"/>
          <w:szCs w:val="24"/>
        </w:rPr>
      </w:pPr>
    </w:p>
    <w:p w:rsidR="001F45CF" w:rsidRDefault="001F45CF" w:rsidP="003A3FE5">
      <w:pPr>
        <w:pStyle w:val="Header"/>
        <w:rPr>
          <w:rFonts w:ascii="Times New Roman" w:hAnsi="Times New Roman" w:cs="Times New Roman"/>
          <w:sz w:val="24"/>
          <w:szCs w:val="24"/>
        </w:rPr>
      </w:pPr>
    </w:p>
    <w:p w:rsidR="001F45CF" w:rsidRPr="0009057C" w:rsidRDefault="001F45CF" w:rsidP="003A3FE5">
      <w:pPr>
        <w:rPr>
          <w:rFonts w:ascii="Times New Roman" w:hAnsi="Times New Roman" w:cs="Times New Roman"/>
          <w:b/>
          <w:sz w:val="24"/>
          <w:szCs w:val="24"/>
        </w:rPr>
      </w:pPr>
      <w:r>
        <w:rPr>
          <w:rFonts w:ascii="Times New Roman" w:hAnsi="Times New Roman" w:cs="Times New Roman"/>
          <w:b/>
          <w:sz w:val="24"/>
          <w:szCs w:val="24"/>
        </w:rPr>
        <w:t>Revision History</w:t>
      </w:r>
    </w:p>
    <w:p w:rsidR="001F45CF" w:rsidRDefault="001F45CF" w:rsidP="001F45C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2"/>
        <w:gridCol w:w="2616"/>
        <w:gridCol w:w="5490"/>
      </w:tblGrid>
      <w:tr w:rsidR="001F45CF" w:rsidRPr="00B2607F" w:rsidTr="00542744">
        <w:tc>
          <w:tcPr>
            <w:tcW w:w="1016"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94" w:type="dxa"/>
            <w:gridSpan w:val="2"/>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6"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90" w:type="dxa"/>
            <w:shd w:val="pct10" w:color="auto" w:fill="auto"/>
          </w:tcPr>
          <w:p w:rsidR="001F45CF" w:rsidRPr="00B2607F" w:rsidRDefault="001F45CF" w:rsidP="00DC23F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1F45CF" w:rsidRPr="00B2607F" w:rsidTr="00542744">
        <w:tc>
          <w:tcPr>
            <w:tcW w:w="1016" w:type="dxa"/>
          </w:tcPr>
          <w:p w:rsidR="001F45CF" w:rsidRPr="00B2607F" w:rsidRDefault="001F45CF" w:rsidP="00DC23F3">
            <w:pPr>
              <w:jc w:val="center"/>
              <w:rPr>
                <w:rFonts w:ascii="Times New Roman" w:hAnsi="Times New Roman" w:cs="Times New Roman"/>
                <w:sz w:val="24"/>
                <w:szCs w:val="24"/>
              </w:rPr>
            </w:pPr>
            <w:r>
              <w:rPr>
                <w:rFonts w:ascii="Times New Roman" w:hAnsi="Times New Roman" w:cs="Times New Roman"/>
                <w:sz w:val="24"/>
                <w:szCs w:val="24"/>
              </w:rPr>
              <w:t>1</w:t>
            </w:r>
          </w:p>
        </w:tc>
        <w:tc>
          <w:tcPr>
            <w:tcW w:w="1894" w:type="dxa"/>
            <w:gridSpan w:val="2"/>
          </w:tcPr>
          <w:p w:rsidR="001F45CF" w:rsidRPr="00B2607F" w:rsidRDefault="00550B4B" w:rsidP="00DC23F3">
            <w:pPr>
              <w:rPr>
                <w:rFonts w:ascii="Times New Roman" w:hAnsi="Times New Roman" w:cs="Times New Roman"/>
                <w:sz w:val="24"/>
                <w:szCs w:val="24"/>
              </w:rPr>
            </w:pPr>
            <w:r>
              <w:rPr>
                <w:rFonts w:ascii="Times New Roman" w:hAnsi="Times New Roman" w:cs="Times New Roman"/>
                <w:sz w:val="24"/>
                <w:szCs w:val="24"/>
              </w:rPr>
              <w:t>July 2010</w:t>
            </w:r>
          </w:p>
        </w:tc>
        <w:tc>
          <w:tcPr>
            <w:tcW w:w="2616" w:type="dxa"/>
          </w:tcPr>
          <w:p w:rsidR="001F45CF" w:rsidRPr="00B2607F" w:rsidRDefault="00550B4B" w:rsidP="00DC23F3">
            <w:pPr>
              <w:rPr>
                <w:rFonts w:ascii="Times New Roman" w:hAnsi="Times New Roman" w:cs="Times New Roman"/>
                <w:sz w:val="24"/>
                <w:szCs w:val="24"/>
              </w:rPr>
            </w:pPr>
            <w:r>
              <w:rPr>
                <w:rFonts w:ascii="Times New Roman" w:hAnsi="Times New Roman" w:cs="Times New Roman"/>
                <w:sz w:val="24"/>
                <w:szCs w:val="24"/>
              </w:rPr>
              <w:t>RSAW W</w:t>
            </w:r>
            <w:r w:rsidR="00542744">
              <w:rPr>
                <w:rFonts w:ascii="Times New Roman" w:hAnsi="Times New Roman" w:cs="Times New Roman"/>
                <w:sz w:val="24"/>
                <w:szCs w:val="24"/>
              </w:rPr>
              <w:t xml:space="preserve">orking </w:t>
            </w:r>
            <w:r>
              <w:rPr>
                <w:rFonts w:ascii="Times New Roman" w:hAnsi="Times New Roman" w:cs="Times New Roman"/>
                <w:sz w:val="24"/>
                <w:szCs w:val="24"/>
              </w:rPr>
              <w:t>G</w:t>
            </w:r>
            <w:r w:rsidR="00542744">
              <w:rPr>
                <w:rFonts w:ascii="Times New Roman" w:hAnsi="Times New Roman" w:cs="Times New Roman"/>
                <w:sz w:val="24"/>
                <w:szCs w:val="24"/>
              </w:rPr>
              <w:t>roup</w:t>
            </w:r>
          </w:p>
        </w:tc>
        <w:tc>
          <w:tcPr>
            <w:tcW w:w="5490" w:type="dxa"/>
          </w:tcPr>
          <w:p w:rsidR="001F45CF" w:rsidRPr="00B2607F" w:rsidRDefault="00550B4B" w:rsidP="00DC23F3">
            <w:pPr>
              <w:rPr>
                <w:rFonts w:ascii="Times New Roman" w:hAnsi="Times New Roman" w:cs="Times New Roman"/>
                <w:sz w:val="24"/>
                <w:szCs w:val="24"/>
              </w:rPr>
            </w:pPr>
            <w:r>
              <w:rPr>
                <w:rFonts w:ascii="Times New Roman" w:hAnsi="Times New Roman" w:cs="Times New Roman"/>
                <w:sz w:val="24"/>
                <w:szCs w:val="24"/>
              </w:rPr>
              <w:t>New Document</w:t>
            </w:r>
          </w:p>
        </w:tc>
      </w:tr>
      <w:tr w:rsidR="00542744" w:rsidRPr="00B2607F" w:rsidTr="00542744">
        <w:tc>
          <w:tcPr>
            <w:tcW w:w="1016" w:type="dxa"/>
          </w:tcPr>
          <w:p w:rsidR="00542744" w:rsidRPr="00B2607F" w:rsidRDefault="00542744" w:rsidP="00635BBE">
            <w:pPr>
              <w:jc w:val="center"/>
              <w:rPr>
                <w:rFonts w:ascii="Times New Roman" w:hAnsi="Times New Roman" w:cs="Times New Roman"/>
                <w:sz w:val="24"/>
                <w:szCs w:val="24"/>
              </w:rPr>
            </w:pPr>
            <w:r>
              <w:rPr>
                <w:rFonts w:ascii="Times New Roman" w:hAnsi="Times New Roman" w:cs="Times New Roman"/>
                <w:sz w:val="24"/>
                <w:szCs w:val="24"/>
              </w:rPr>
              <w:t>1</w:t>
            </w:r>
          </w:p>
        </w:tc>
        <w:tc>
          <w:tcPr>
            <w:tcW w:w="1894" w:type="dxa"/>
            <w:gridSpan w:val="2"/>
          </w:tcPr>
          <w:p w:rsidR="00542744" w:rsidRPr="00B2607F" w:rsidRDefault="00542744" w:rsidP="00635BBE">
            <w:pPr>
              <w:rPr>
                <w:rFonts w:ascii="Times New Roman" w:hAnsi="Times New Roman" w:cs="Times New Roman"/>
                <w:sz w:val="24"/>
                <w:szCs w:val="24"/>
              </w:rPr>
            </w:pPr>
            <w:r>
              <w:rPr>
                <w:rFonts w:ascii="Times New Roman" w:hAnsi="Times New Roman" w:cs="Times New Roman"/>
                <w:sz w:val="24"/>
                <w:szCs w:val="24"/>
              </w:rPr>
              <w:t>September 2010</w:t>
            </w:r>
          </w:p>
        </w:tc>
        <w:tc>
          <w:tcPr>
            <w:tcW w:w="2616" w:type="dxa"/>
          </w:tcPr>
          <w:p w:rsidR="00542744" w:rsidRPr="00B2607F" w:rsidRDefault="00542744" w:rsidP="00C273BE">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90" w:type="dxa"/>
          </w:tcPr>
          <w:p w:rsidR="00542744" w:rsidRPr="00B2607F" w:rsidRDefault="00542744" w:rsidP="00635BBE">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1F45CF" w:rsidRPr="00B2607F" w:rsidTr="00542744">
        <w:tc>
          <w:tcPr>
            <w:tcW w:w="1016" w:type="dxa"/>
          </w:tcPr>
          <w:p w:rsidR="001F45CF" w:rsidRPr="00B2607F" w:rsidRDefault="001309A0" w:rsidP="00DC23F3">
            <w:pPr>
              <w:jc w:val="center"/>
              <w:rPr>
                <w:rFonts w:ascii="Times New Roman" w:hAnsi="Times New Roman" w:cs="Times New Roman"/>
                <w:sz w:val="24"/>
                <w:szCs w:val="24"/>
              </w:rPr>
            </w:pPr>
            <w:r>
              <w:rPr>
                <w:rFonts w:ascii="Times New Roman" w:hAnsi="Times New Roman" w:cs="Times New Roman"/>
                <w:sz w:val="24"/>
                <w:szCs w:val="24"/>
              </w:rPr>
              <w:t>1.1</w:t>
            </w:r>
          </w:p>
        </w:tc>
        <w:tc>
          <w:tcPr>
            <w:tcW w:w="1894" w:type="dxa"/>
            <w:gridSpan w:val="2"/>
          </w:tcPr>
          <w:p w:rsidR="001F45CF" w:rsidRPr="00B2607F" w:rsidRDefault="001309A0" w:rsidP="00DC23F3">
            <w:pPr>
              <w:rPr>
                <w:rFonts w:ascii="Times New Roman" w:hAnsi="Times New Roman" w:cs="Times New Roman"/>
                <w:sz w:val="24"/>
                <w:szCs w:val="24"/>
              </w:rPr>
            </w:pPr>
            <w:r>
              <w:rPr>
                <w:rFonts w:ascii="Times New Roman" w:hAnsi="Times New Roman" w:cs="Times New Roman"/>
                <w:sz w:val="24"/>
                <w:szCs w:val="24"/>
              </w:rPr>
              <w:t>December 2010</w:t>
            </w:r>
          </w:p>
        </w:tc>
        <w:tc>
          <w:tcPr>
            <w:tcW w:w="2616" w:type="dxa"/>
          </w:tcPr>
          <w:p w:rsidR="001F45CF" w:rsidRPr="00B2607F" w:rsidRDefault="001309A0" w:rsidP="00DC23F3">
            <w:pPr>
              <w:rPr>
                <w:rFonts w:ascii="Times New Roman" w:hAnsi="Times New Roman" w:cs="Times New Roman"/>
                <w:sz w:val="24"/>
                <w:szCs w:val="24"/>
              </w:rPr>
            </w:pPr>
            <w:r>
              <w:rPr>
                <w:rFonts w:ascii="Times New Roman" w:hAnsi="Times New Roman" w:cs="Times New Roman"/>
                <w:sz w:val="24"/>
                <w:szCs w:val="24"/>
              </w:rPr>
              <w:t>RSAW WG</w:t>
            </w:r>
          </w:p>
        </w:tc>
        <w:tc>
          <w:tcPr>
            <w:tcW w:w="5490" w:type="dxa"/>
          </w:tcPr>
          <w:p w:rsidR="001F45CF" w:rsidRPr="00B2607F" w:rsidRDefault="001309A0" w:rsidP="00DC23F3">
            <w:pPr>
              <w:rPr>
                <w:rFonts w:ascii="Times New Roman" w:hAnsi="Times New Roman" w:cs="Times New Roman"/>
                <w:sz w:val="24"/>
                <w:szCs w:val="24"/>
              </w:rPr>
            </w:pPr>
            <w:r w:rsidRPr="001309A0">
              <w:rPr>
                <w:rFonts w:ascii="Times New Roman" w:hAnsi="Times New Roman" w:cs="Times New Roman"/>
                <w:sz w:val="24"/>
                <w:szCs w:val="24"/>
              </w:rPr>
              <w:t>Revised Findings Table and modified Supporting Evidence Table</w:t>
            </w:r>
          </w:p>
        </w:tc>
      </w:tr>
      <w:tr w:rsidR="00C273BE" w:rsidTr="00C273BE">
        <w:tc>
          <w:tcPr>
            <w:tcW w:w="1016" w:type="dxa"/>
            <w:tcBorders>
              <w:top w:val="single" w:sz="4" w:space="0" w:color="000000"/>
              <w:left w:val="single" w:sz="4" w:space="0" w:color="000000"/>
              <w:bottom w:val="single" w:sz="4" w:space="0" w:color="000000"/>
              <w:right w:val="single" w:sz="4" w:space="0" w:color="000000"/>
            </w:tcBorders>
          </w:tcPr>
          <w:p w:rsidR="00C273BE" w:rsidRDefault="00C273BE" w:rsidP="00B200C0">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C273BE" w:rsidRDefault="00C273BE" w:rsidP="00B200C0">
            <w:pPr>
              <w:rPr>
                <w:rFonts w:ascii="Times New Roman" w:hAnsi="Times New Roman" w:cs="Times New Roman"/>
                <w:sz w:val="24"/>
                <w:szCs w:val="24"/>
              </w:rPr>
            </w:pPr>
            <w:r>
              <w:rPr>
                <w:rFonts w:ascii="Times New Roman" w:hAnsi="Times New Roman" w:cs="Times New Roman"/>
                <w:sz w:val="24"/>
                <w:szCs w:val="24"/>
              </w:rPr>
              <w:t>January 2011</w:t>
            </w:r>
          </w:p>
        </w:tc>
        <w:tc>
          <w:tcPr>
            <w:tcW w:w="2628" w:type="dxa"/>
            <w:gridSpan w:val="2"/>
            <w:tcBorders>
              <w:top w:val="single" w:sz="4" w:space="0" w:color="000000"/>
              <w:left w:val="single" w:sz="4" w:space="0" w:color="000000"/>
              <w:bottom w:val="single" w:sz="4" w:space="0" w:color="000000"/>
              <w:right w:val="single" w:sz="4" w:space="0" w:color="000000"/>
            </w:tcBorders>
          </w:tcPr>
          <w:p w:rsidR="00C273BE" w:rsidRDefault="00C273BE" w:rsidP="00B200C0">
            <w:pPr>
              <w:rPr>
                <w:rFonts w:ascii="Times New Roman" w:hAnsi="Times New Roman" w:cs="Times New Roman"/>
                <w:sz w:val="24"/>
                <w:szCs w:val="24"/>
              </w:rPr>
            </w:pPr>
            <w:r>
              <w:rPr>
                <w:rFonts w:ascii="Times New Roman" w:hAnsi="Times New Roman" w:cs="Times New Roman"/>
                <w:sz w:val="24"/>
                <w:szCs w:val="24"/>
              </w:rPr>
              <w:t>Craig Struck</w:t>
            </w:r>
          </w:p>
        </w:tc>
        <w:tc>
          <w:tcPr>
            <w:tcW w:w="5490" w:type="dxa"/>
            <w:tcBorders>
              <w:top w:val="single" w:sz="4" w:space="0" w:color="000000"/>
              <w:left w:val="single" w:sz="4" w:space="0" w:color="000000"/>
              <w:bottom w:val="single" w:sz="4" w:space="0" w:color="000000"/>
              <w:right w:val="single" w:sz="4" w:space="0" w:color="000000"/>
            </w:tcBorders>
          </w:tcPr>
          <w:p w:rsidR="00C273BE" w:rsidRDefault="00C273BE" w:rsidP="00B200C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1F45CF" w:rsidRPr="00B2607F" w:rsidTr="00542744">
        <w:tc>
          <w:tcPr>
            <w:tcW w:w="1016" w:type="dxa"/>
          </w:tcPr>
          <w:p w:rsidR="001F45CF" w:rsidRPr="00B2607F" w:rsidRDefault="001F45CF" w:rsidP="00DC23F3">
            <w:pPr>
              <w:jc w:val="center"/>
              <w:rPr>
                <w:rFonts w:ascii="Times New Roman" w:hAnsi="Times New Roman" w:cs="Times New Roman"/>
                <w:sz w:val="24"/>
                <w:szCs w:val="24"/>
              </w:rPr>
            </w:pPr>
          </w:p>
        </w:tc>
        <w:tc>
          <w:tcPr>
            <w:tcW w:w="1894" w:type="dxa"/>
            <w:gridSpan w:val="2"/>
          </w:tcPr>
          <w:p w:rsidR="001F45CF" w:rsidRPr="00B2607F" w:rsidRDefault="001F45CF" w:rsidP="00DC23F3">
            <w:pPr>
              <w:rPr>
                <w:rFonts w:ascii="Times New Roman" w:hAnsi="Times New Roman" w:cs="Times New Roman"/>
                <w:sz w:val="24"/>
                <w:szCs w:val="24"/>
              </w:rPr>
            </w:pPr>
          </w:p>
        </w:tc>
        <w:tc>
          <w:tcPr>
            <w:tcW w:w="2616" w:type="dxa"/>
          </w:tcPr>
          <w:p w:rsidR="001F45CF" w:rsidRPr="00B2607F" w:rsidRDefault="001F45CF" w:rsidP="00DC23F3">
            <w:pPr>
              <w:rPr>
                <w:rFonts w:ascii="Times New Roman" w:hAnsi="Times New Roman" w:cs="Times New Roman"/>
                <w:sz w:val="24"/>
                <w:szCs w:val="24"/>
              </w:rPr>
            </w:pPr>
          </w:p>
        </w:tc>
        <w:tc>
          <w:tcPr>
            <w:tcW w:w="5490" w:type="dxa"/>
          </w:tcPr>
          <w:p w:rsidR="001F45CF" w:rsidRPr="00B2607F" w:rsidRDefault="001F45CF" w:rsidP="00DC23F3">
            <w:pPr>
              <w:rPr>
                <w:rFonts w:ascii="Times New Roman" w:hAnsi="Times New Roman" w:cs="Times New Roman"/>
                <w:sz w:val="24"/>
                <w:szCs w:val="24"/>
              </w:rPr>
            </w:pPr>
          </w:p>
        </w:tc>
      </w:tr>
      <w:tr w:rsidR="001F45CF" w:rsidRPr="00B2607F" w:rsidTr="00542744">
        <w:tc>
          <w:tcPr>
            <w:tcW w:w="1016" w:type="dxa"/>
          </w:tcPr>
          <w:p w:rsidR="001F45CF" w:rsidRPr="00B2607F" w:rsidRDefault="001F45CF" w:rsidP="00DC23F3">
            <w:pPr>
              <w:jc w:val="center"/>
              <w:rPr>
                <w:rFonts w:ascii="Times New Roman" w:hAnsi="Times New Roman" w:cs="Times New Roman"/>
                <w:sz w:val="24"/>
                <w:szCs w:val="24"/>
              </w:rPr>
            </w:pPr>
          </w:p>
        </w:tc>
        <w:tc>
          <w:tcPr>
            <w:tcW w:w="1894" w:type="dxa"/>
            <w:gridSpan w:val="2"/>
          </w:tcPr>
          <w:p w:rsidR="001F45CF" w:rsidRPr="00B2607F" w:rsidRDefault="001F45CF" w:rsidP="00DC23F3">
            <w:pPr>
              <w:rPr>
                <w:rFonts w:ascii="Times New Roman" w:hAnsi="Times New Roman" w:cs="Times New Roman"/>
                <w:sz w:val="24"/>
                <w:szCs w:val="24"/>
              </w:rPr>
            </w:pPr>
          </w:p>
        </w:tc>
        <w:tc>
          <w:tcPr>
            <w:tcW w:w="2616" w:type="dxa"/>
          </w:tcPr>
          <w:p w:rsidR="001F45CF" w:rsidRPr="00B2607F" w:rsidRDefault="001F45CF" w:rsidP="00DC23F3">
            <w:pPr>
              <w:rPr>
                <w:rFonts w:ascii="Times New Roman" w:hAnsi="Times New Roman" w:cs="Times New Roman"/>
                <w:sz w:val="24"/>
                <w:szCs w:val="24"/>
              </w:rPr>
            </w:pPr>
          </w:p>
        </w:tc>
        <w:tc>
          <w:tcPr>
            <w:tcW w:w="5490" w:type="dxa"/>
          </w:tcPr>
          <w:p w:rsidR="001F45CF" w:rsidRPr="00B2607F" w:rsidRDefault="001F45CF" w:rsidP="00DC23F3">
            <w:pPr>
              <w:rPr>
                <w:rFonts w:ascii="Times New Roman" w:hAnsi="Times New Roman" w:cs="Times New Roman"/>
                <w:sz w:val="24"/>
                <w:szCs w:val="24"/>
              </w:rPr>
            </w:pPr>
          </w:p>
        </w:tc>
      </w:tr>
      <w:tr w:rsidR="001F45CF" w:rsidRPr="00B2607F" w:rsidTr="00542744">
        <w:tc>
          <w:tcPr>
            <w:tcW w:w="1016" w:type="dxa"/>
          </w:tcPr>
          <w:p w:rsidR="001F45CF" w:rsidRPr="00B2607F" w:rsidRDefault="001F45CF" w:rsidP="00DC23F3">
            <w:pPr>
              <w:jc w:val="center"/>
              <w:rPr>
                <w:rFonts w:ascii="Times New Roman" w:hAnsi="Times New Roman" w:cs="Times New Roman"/>
                <w:sz w:val="24"/>
                <w:szCs w:val="24"/>
              </w:rPr>
            </w:pPr>
          </w:p>
        </w:tc>
        <w:tc>
          <w:tcPr>
            <w:tcW w:w="1894" w:type="dxa"/>
            <w:gridSpan w:val="2"/>
          </w:tcPr>
          <w:p w:rsidR="001F45CF" w:rsidRPr="00B2607F" w:rsidRDefault="001F45CF" w:rsidP="00DC23F3">
            <w:pPr>
              <w:rPr>
                <w:rFonts w:ascii="Times New Roman" w:hAnsi="Times New Roman" w:cs="Times New Roman"/>
                <w:sz w:val="24"/>
                <w:szCs w:val="24"/>
              </w:rPr>
            </w:pPr>
          </w:p>
        </w:tc>
        <w:tc>
          <w:tcPr>
            <w:tcW w:w="2616" w:type="dxa"/>
          </w:tcPr>
          <w:p w:rsidR="001F45CF" w:rsidRPr="00B2607F" w:rsidRDefault="001F45CF" w:rsidP="00DC23F3">
            <w:pPr>
              <w:rPr>
                <w:rFonts w:ascii="Times New Roman" w:hAnsi="Times New Roman" w:cs="Times New Roman"/>
                <w:sz w:val="24"/>
                <w:szCs w:val="24"/>
              </w:rPr>
            </w:pPr>
          </w:p>
        </w:tc>
        <w:tc>
          <w:tcPr>
            <w:tcW w:w="5490" w:type="dxa"/>
          </w:tcPr>
          <w:p w:rsidR="001F45CF" w:rsidRPr="00B2607F" w:rsidRDefault="001F45CF" w:rsidP="00DC23F3">
            <w:pPr>
              <w:rPr>
                <w:rFonts w:ascii="Times New Roman" w:hAnsi="Times New Roman" w:cs="Times New Roman"/>
                <w:sz w:val="24"/>
                <w:szCs w:val="24"/>
              </w:rPr>
            </w:pPr>
          </w:p>
        </w:tc>
      </w:tr>
    </w:tbl>
    <w:p w:rsidR="001F45CF" w:rsidRPr="004550E5" w:rsidRDefault="001F45CF" w:rsidP="003A3FE5">
      <w:pPr>
        <w:widowControl w:val="0"/>
        <w:spacing w:line="244" w:lineRule="exact"/>
        <w:rPr>
          <w:rFonts w:ascii="Times New Roman" w:hAnsi="Times New Roman" w:cs="Times New Roman"/>
          <w:sz w:val="24"/>
          <w:szCs w:val="24"/>
        </w:rPr>
      </w:pPr>
    </w:p>
    <w:sectPr w:rsidR="001F45CF"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00" w:rsidRDefault="00CE4A00">
      <w:r>
        <w:separator/>
      </w:r>
    </w:p>
  </w:endnote>
  <w:endnote w:type="continuationSeparator" w:id="0">
    <w:p w:rsidR="00CE4A00" w:rsidRDefault="00CE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D15" w:rsidRDefault="00576D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FE" w:rsidRPr="00323003" w:rsidRDefault="00937AFE"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937AFE" w:rsidRPr="00323003" w:rsidRDefault="00937AF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937AFE" w:rsidRPr="00323003" w:rsidRDefault="00937AF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sidR="001309A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p>
  <w:p w:rsidR="00937AFE" w:rsidRPr="00323003" w:rsidRDefault="00937AFE"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sidR="001309A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937AFE" w:rsidRDefault="00937AFE"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sidR="001309A0">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937AFE" w:rsidRPr="00872AF8" w:rsidRDefault="00937AFE"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INT-006-3</w:t>
    </w:r>
    <w:r w:rsidRPr="00872AF8">
      <w:rPr>
        <w:rFonts w:ascii="Times New Roman" w:hAnsi="Times New Roman"/>
        <w:sz w:val="18"/>
        <w:szCs w:val="18"/>
      </w:rPr>
      <w:t>_</w:t>
    </w:r>
    <w:r>
      <w:rPr>
        <w:rFonts w:ascii="Times New Roman" w:hAnsi="Times New Roman"/>
        <w:sz w:val="18"/>
        <w:szCs w:val="18"/>
      </w:rPr>
      <w:t>201</w:t>
    </w:r>
    <w:r w:rsidR="00C273BE">
      <w:rPr>
        <w:rFonts w:ascii="Times New Roman" w:hAnsi="Times New Roman"/>
        <w:sz w:val="18"/>
        <w:szCs w:val="18"/>
      </w:rPr>
      <w:t>1</w:t>
    </w:r>
    <w:r w:rsidRPr="00872AF8">
      <w:rPr>
        <w:rFonts w:ascii="Times New Roman" w:hAnsi="Times New Roman"/>
        <w:sz w:val="18"/>
        <w:szCs w:val="18"/>
      </w:rPr>
      <w:t>_v1</w:t>
    </w:r>
    <w:r w:rsidR="001309A0">
      <w:rPr>
        <w:rFonts w:ascii="Times New Roman" w:hAnsi="Times New Roman"/>
        <w:sz w:val="18"/>
        <w:szCs w:val="18"/>
      </w:rPr>
      <w:t>.1</w:t>
    </w:r>
  </w:p>
  <w:p w:rsidR="00937AFE" w:rsidRPr="00872AF8" w:rsidRDefault="00937AFE"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C273BE">
      <w:rPr>
        <w:rFonts w:ascii="Times New Roman" w:hAnsi="Times New Roman" w:cs="Times New Roman"/>
        <w:color w:val="000000"/>
        <w:sz w:val="18"/>
        <w:szCs w:val="18"/>
      </w:rPr>
      <w:t>January 2011</w:t>
    </w:r>
  </w:p>
  <w:p w:rsidR="00937AFE" w:rsidRPr="00323003" w:rsidRDefault="00937AFE"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5C74B1">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D15" w:rsidRDefault="00576D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00" w:rsidRDefault="00CE4A00">
      <w:r>
        <w:separator/>
      </w:r>
    </w:p>
  </w:footnote>
  <w:footnote w:type="continuationSeparator" w:id="0">
    <w:p w:rsidR="00CE4A00" w:rsidRDefault="00CE4A00">
      <w:r>
        <w:continuationSeparator/>
      </w:r>
    </w:p>
  </w:footnote>
  <w:footnote w:id="1">
    <w:p w:rsidR="00937AFE" w:rsidRDefault="00937AFE" w:rsidP="0017363B">
      <w:pPr>
        <w:pStyle w:val="FootnoteText"/>
      </w:pPr>
      <w:r>
        <w:rPr>
          <w:rStyle w:val="FootnoteReference"/>
        </w:rPr>
        <w:footnoteRef/>
      </w:r>
      <w:r>
        <w:t xml:space="preserve"> The Balancing Authority and Transmission Service Provider need not provide responses to any other requests.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D15" w:rsidRDefault="00576D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AFE" w:rsidRDefault="00937AFE">
    <w:pPr>
      <w:widowControl w:val="0"/>
      <w:spacing w:line="240" w:lineRule="exact"/>
      <w:rPr>
        <w:rFonts w:cs="Times New Roman"/>
      </w:rPr>
    </w:pPr>
  </w:p>
  <w:p w:rsidR="00937AFE" w:rsidRPr="006813F3" w:rsidRDefault="00937AFE" w:rsidP="0054274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937AFE" w:rsidRPr="006813F3" w:rsidRDefault="00576D15" w:rsidP="0054274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937AFE" w:rsidRDefault="00306440">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937AFE" w:rsidRDefault="00937AF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D15" w:rsidRDefault="00576D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241C8"/>
    <w:multiLevelType w:val="hybridMultilevel"/>
    <w:tmpl w:val="2496F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603329F"/>
    <w:multiLevelType w:val="multilevel"/>
    <w:tmpl w:val="BAC844D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A4478"/>
    <w:rsid w:val="000B4B1F"/>
    <w:rsid w:val="000E2855"/>
    <w:rsid w:val="000F0A1C"/>
    <w:rsid w:val="000F4AF6"/>
    <w:rsid w:val="000F4D35"/>
    <w:rsid w:val="000F5E13"/>
    <w:rsid w:val="00100FD6"/>
    <w:rsid w:val="00116F8E"/>
    <w:rsid w:val="001308E2"/>
    <w:rsid w:val="001309A0"/>
    <w:rsid w:val="00141A3B"/>
    <w:rsid w:val="0017363B"/>
    <w:rsid w:val="001818CD"/>
    <w:rsid w:val="00192C6D"/>
    <w:rsid w:val="001A60CC"/>
    <w:rsid w:val="001D467F"/>
    <w:rsid w:val="001F45CF"/>
    <w:rsid w:val="00201161"/>
    <w:rsid w:val="00207A7A"/>
    <w:rsid w:val="002478D9"/>
    <w:rsid w:val="00260B45"/>
    <w:rsid w:val="0027090C"/>
    <w:rsid w:val="00281790"/>
    <w:rsid w:val="002A246D"/>
    <w:rsid w:val="002C6986"/>
    <w:rsid w:val="00306440"/>
    <w:rsid w:val="00323003"/>
    <w:rsid w:val="0035604C"/>
    <w:rsid w:val="00357F68"/>
    <w:rsid w:val="0036144D"/>
    <w:rsid w:val="00377D45"/>
    <w:rsid w:val="00396135"/>
    <w:rsid w:val="003A3FE5"/>
    <w:rsid w:val="003B631E"/>
    <w:rsid w:val="003E0982"/>
    <w:rsid w:val="003E5FE5"/>
    <w:rsid w:val="003E7EDF"/>
    <w:rsid w:val="0040362C"/>
    <w:rsid w:val="00404D27"/>
    <w:rsid w:val="00426E53"/>
    <w:rsid w:val="0043649E"/>
    <w:rsid w:val="00443293"/>
    <w:rsid w:val="004550E5"/>
    <w:rsid w:val="00464DE7"/>
    <w:rsid w:val="00473790"/>
    <w:rsid w:val="004A25CF"/>
    <w:rsid w:val="004E0362"/>
    <w:rsid w:val="005136A0"/>
    <w:rsid w:val="00530AD0"/>
    <w:rsid w:val="00542744"/>
    <w:rsid w:val="00543A88"/>
    <w:rsid w:val="00550B4B"/>
    <w:rsid w:val="0055246A"/>
    <w:rsid w:val="00565AEF"/>
    <w:rsid w:val="005662A8"/>
    <w:rsid w:val="005715B0"/>
    <w:rsid w:val="00576D15"/>
    <w:rsid w:val="0059110B"/>
    <w:rsid w:val="005916FC"/>
    <w:rsid w:val="005934DC"/>
    <w:rsid w:val="005A442C"/>
    <w:rsid w:val="005C74B1"/>
    <w:rsid w:val="005D1D5C"/>
    <w:rsid w:val="005D58A1"/>
    <w:rsid w:val="00607435"/>
    <w:rsid w:val="00613FA3"/>
    <w:rsid w:val="00625E81"/>
    <w:rsid w:val="00635BBE"/>
    <w:rsid w:val="00647DE9"/>
    <w:rsid w:val="00656ADB"/>
    <w:rsid w:val="00671684"/>
    <w:rsid w:val="00675E27"/>
    <w:rsid w:val="00682F28"/>
    <w:rsid w:val="00684DDA"/>
    <w:rsid w:val="0068557F"/>
    <w:rsid w:val="006E1CC0"/>
    <w:rsid w:val="0071094E"/>
    <w:rsid w:val="00756289"/>
    <w:rsid w:val="007A0E0C"/>
    <w:rsid w:val="007B45C5"/>
    <w:rsid w:val="007B52CB"/>
    <w:rsid w:val="007B7DF7"/>
    <w:rsid w:val="007C44D6"/>
    <w:rsid w:val="007C659D"/>
    <w:rsid w:val="007E1E10"/>
    <w:rsid w:val="00832FF7"/>
    <w:rsid w:val="008539DC"/>
    <w:rsid w:val="00853A30"/>
    <w:rsid w:val="00861282"/>
    <w:rsid w:val="00883F37"/>
    <w:rsid w:val="00894768"/>
    <w:rsid w:val="00894CCA"/>
    <w:rsid w:val="008C5E4C"/>
    <w:rsid w:val="008F2767"/>
    <w:rsid w:val="00917067"/>
    <w:rsid w:val="009226C5"/>
    <w:rsid w:val="00937AFE"/>
    <w:rsid w:val="00937B5C"/>
    <w:rsid w:val="00952818"/>
    <w:rsid w:val="00956100"/>
    <w:rsid w:val="0097657C"/>
    <w:rsid w:val="009A1984"/>
    <w:rsid w:val="009B295F"/>
    <w:rsid w:val="009C039C"/>
    <w:rsid w:val="009C4318"/>
    <w:rsid w:val="009C4340"/>
    <w:rsid w:val="009D3D62"/>
    <w:rsid w:val="00A10643"/>
    <w:rsid w:val="00A40A99"/>
    <w:rsid w:val="00A74C27"/>
    <w:rsid w:val="00A86374"/>
    <w:rsid w:val="00A94FD4"/>
    <w:rsid w:val="00AD5422"/>
    <w:rsid w:val="00AF4234"/>
    <w:rsid w:val="00B06DE8"/>
    <w:rsid w:val="00B200C0"/>
    <w:rsid w:val="00B258AF"/>
    <w:rsid w:val="00B435EE"/>
    <w:rsid w:val="00B608A3"/>
    <w:rsid w:val="00BB611C"/>
    <w:rsid w:val="00BE1264"/>
    <w:rsid w:val="00BE2A33"/>
    <w:rsid w:val="00BF207D"/>
    <w:rsid w:val="00BF2B51"/>
    <w:rsid w:val="00BF3B49"/>
    <w:rsid w:val="00C060E7"/>
    <w:rsid w:val="00C11EDD"/>
    <w:rsid w:val="00C23A94"/>
    <w:rsid w:val="00C273BE"/>
    <w:rsid w:val="00C46F97"/>
    <w:rsid w:val="00C568DC"/>
    <w:rsid w:val="00C941BC"/>
    <w:rsid w:val="00CC452E"/>
    <w:rsid w:val="00CD08F5"/>
    <w:rsid w:val="00CE4A00"/>
    <w:rsid w:val="00CF5895"/>
    <w:rsid w:val="00D33732"/>
    <w:rsid w:val="00D45934"/>
    <w:rsid w:val="00D54754"/>
    <w:rsid w:val="00D5513A"/>
    <w:rsid w:val="00D830A2"/>
    <w:rsid w:val="00DA44A1"/>
    <w:rsid w:val="00DB1295"/>
    <w:rsid w:val="00DC23F3"/>
    <w:rsid w:val="00DE3654"/>
    <w:rsid w:val="00E0105E"/>
    <w:rsid w:val="00E13FD1"/>
    <w:rsid w:val="00E56E74"/>
    <w:rsid w:val="00E57E67"/>
    <w:rsid w:val="00E679D3"/>
    <w:rsid w:val="00E8453A"/>
    <w:rsid w:val="00E93387"/>
    <w:rsid w:val="00EB2DD5"/>
    <w:rsid w:val="00EC1F61"/>
    <w:rsid w:val="00ED0E7C"/>
    <w:rsid w:val="00ED672E"/>
    <w:rsid w:val="00EE621B"/>
    <w:rsid w:val="00F009F3"/>
    <w:rsid w:val="00F10E7B"/>
    <w:rsid w:val="00F146BE"/>
    <w:rsid w:val="00F7559B"/>
    <w:rsid w:val="00FB1214"/>
    <w:rsid w:val="00FE79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9A3AF2B-FFEE-401F-AFC9-1CA9E7166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17363B"/>
    <w:pPr>
      <w:numPr>
        <w:numId w:val="3"/>
      </w:numPr>
      <w:tabs>
        <w:tab w:val="clear" w:pos="936"/>
      </w:tabs>
      <w:ind w:left="720" w:hanging="360"/>
    </w:pPr>
  </w:style>
  <w:style w:type="paragraph" w:styleId="FootnoteText">
    <w:name w:val="footnote text"/>
    <w:basedOn w:val="Normal"/>
    <w:link w:val="FootnoteTextChar"/>
    <w:semiHidden/>
    <w:rsid w:val="0017363B"/>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17363B"/>
  </w:style>
  <w:style w:type="character" w:styleId="FootnoteReference">
    <w:name w:val="footnote reference"/>
    <w:semiHidden/>
    <w:rsid w:val="0017363B"/>
    <w:rPr>
      <w:vertAlign w:val="superscript"/>
    </w:rPr>
  </w:style>
  <w:style w:type="paragraph" w:styleId="List2">
    <w:name w:val="List 2"/>
    <w:basedOn w:val="Normal"/>
    <w:uiPriority w:val="99"/>
    <w:semiHidden/>
    <w:unhideWhenUsed/>
    <w:rsid w:val="0017363B"/>
    <w:pPr>
      <w:ind w:left="720" w:hanging="360"/>
      <w:contextualSpacing/>
    </w:pPr>
  </w:style>
  <w:style w:type="character" w:styleId="Strong">
    <w:name w:val="Strong"/>
    <w:qFormat/>
    <w:rsid w:val="00201161"/>
    <w:rPr>
      <w:b/>
      <w:bCs/>
    </w:rPr>
  </w:style>
  <w:style w:type="paragraph" w:customStyle="1" w:styleId="Default">
    <w:name w:val="Default"/>
    <w:rsid w:val="00937AFE"/>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597134737">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2302</Words>
  <Characters>13125</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
      <vt:lpstr>Subject Matter Experts</vt:lpstr>
      <vt:lpstr>Reliability Standard Language</vt:lpstr>
      <vt:lpstr>R1 Supporting Evidence and Documentation</vt:lpstr>
      <vt:lpstr/>
      <vt:lpstr>Supplemental Information</vt:lpstr>
      <vt:lpstr>Compliance Findings Summary (to be filled out by auditor)</vt:lpstr>
    </vt:vector>
  </TitlesOfParts>
  <Company/>
  <LinksUpToDate>false</LinksUpToDate>
  <CharactersWithSpaces>15397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2013-09-25T18:37:00Z</dcterms:created>
  <dcterms:modified xsi:type="dcterms:W3CDTF">2013-10-18T20:12:00Z</dcterms:modified>
</cp:coreProperties>
</file>